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footer49.xml" ContentType="application/vnd.openxmlformats-officedocument.wordprocessingml.footer+xml"/>
  <Override PartName="/word/footer48.xml" ContentType="application/vnd.openxmlformats-officedocument.wordprocessingml.footer+xml"/>
  <Override PartName="/word/footer47.xml" ContentType="application/vnd.openxmlformats-officedocument.wordprocessingml.footer+xml"/>
  <Override PartName="/word/footer39.xml" ContentType="application/vnd.openxmlformats-officedocument.wordprocessingml.footer+xml"/>
  <Override PartName="/word/theme/theme1.xml" ContentType="application/vnd.openxmlformats-officedocument.theme+xml"/>
  <Override PartName="/word/footer55.xml" ContentType="application/vnd.openxmlformats-officedocument.wordprocessingml.footer+xml"/>
  <Override PartName="/word/footer12.xml" ContentType="application/vnd.openxmlformats-officedocument.wordprocessingml.footer+xml"/>
  <Override PartName="/word/footer38.xml" ContentType="application/vnd.openxmlformats-officedocument.wordprocessingml.footer+xml"/>
  <Override PartName="/word/footer46.xml" ContentType="application/vnd.openxmlformats-officedocument.wordprocessingml.footer+xml"/>
  <Override PartName="/word/footer29.xml" ContentType="application/vnd.openxmlformats-officedocument.wordprocessingml.footer+xml"/>
  <Override PartName="/word/footer45.xml" ContentType="application/vnd.openxmlformats-officedocument.wordprocessingml.footer+xml"/>
  <Override PartName="/word/footer28.xml" ContentType="application/vnd.openxmlformats-officedocument.wordprocessingml.footer+xml"/>
  <Override PartName="/word/footnotes.xml" ContentType="application/vnd.openxmlformats-officedocument.wordprocessingml.footnotes+xml"/>
  <Override PartName="/word/footer56.xml" ContentType="application/vnd.openxmlformats-officedocument.wordprocessingml.footer+xml"/>
  <Override PartName="/word/footer13.xml" ContentType="application/vnd.openxmlformats-officedocument.wordprocessingml.footer+xml"/>
  <Override PartName="/word/footer5.xml" ContentType="application/vnd.openxmlformats-officedocument.wordprocessingml.footer+xml"/>
  <Override PartName="/word/footer30.xml" ContentType="application/vnd.openxmlformats-officedocument.wordprocessingml.footer+xml"/>
  <Override PartName="/word/media/image1.wmf" ContentType="image/x-wmf"/>
  <Override PartName="/word/media/image2.wmf" ContentType="image/x-wmf"/>
  <Override PartName="/word/media/image3.wmf" ContentType="image/x-wmf"/>
  <Override PartName="/word/media/image4.wmf" ContentType="image/x-wmf"/>
  <Override PartName="/word/media/image5.wmf" ContentType="image/x-wmf"/>
  <Override PartName="/word/media/image6.wmf" ContentType="image/x-wmf"/>
  <Override PartName="/word/embeddings/oleObject1.xlsx" ContentType="application/vnd.openxmlformats-officedocument.spreadsheetml.sheet"/>
  <Override PartName="/word/embeddings/oleObject2.xlsx" ContentType="application/vnd.openxmlformats-officedocument.spreadsheetml.sheet"/>
  <Override PartName="/word/embeddings/oleObject3.xlsx" ContentType="application/vnd.openxmlformats-officedocument.spreadsheetml.sheet"/>
  <Override PartName="/word/embeddings/oleObject4.xlsx" ContentType="application/vnd.openxmlformats-officedocument.spreadsheetml.sheet"/>
  <Override PartName="/word/embeddings/oleObject5.xlsx" ContentType="application/vnd.openxmlformats-officedocument.spreadsheetml.sheet"/>
  <Override PartName="/word/embeddings/oleObject6.xlsx" ContentType="application/vnd.openxmlformats-officedocument.spreadsheetml.sheet"/>
  <Override PartName="/word/embeddings/oleObject7.xlsx" ContentType="application/vnd.openxmlformats-officedocument.spreadsheetml.sheet"/>
  <Override PartName="/word/embeddings/oleObject8.xlsx" ContentType="application/vnd.openxmlformats-officedocument.spreadsheetml.sheet"/>
  <Override PartName="/word/footer21.xml" ContentType="application/vnd.openxmlformats-officedocument.wordprocessingml.footer+xml"/>
  <Override PartName="/word/footer2.xml" ContentType="application/vnd.openxmlformats-officedocument.wordprocessingml.footer+xml"/>
  <Override PartName="/word/footer4.xml" ContentType="application/vnd.openxmlformats-officedocument.wordprocessingml.footer+xml"/>
  <Override PartName="/word/footer57.xml" ContentType="application/vnd.openxmlformats-officedocument.wordprocessingml.footer+xml"/>
  <Override PartName="/word/footer14.xml" ContentType="application/vnd.openxmlformats-officedocument.wordprocessingml.footer+xml"/>
  <Override PartName="/word/footer31.xml" ContentType="application/vnd.openxmlformats-officedocument.wordprocessingml.footer+xml"/>
  <Override PartName="/word/fontTable.xml" ContentType="application/vnd.openxmlformats-officedocument.wordprocessingml.fontTable+xml"/>
  <Override PartName="/word/footer6.xml" ContentType="application/vnd.openxmlformats-officedocument.wordprocessingml.footer+xml"/>
  <Override PartName="/word/footer50.xml" ContentType="application/vnd.openxmlformats-officedocument.wordprocessingml.footer+xml"/>
  <Override PartName="/word/footer8.xml" ContentType="application/vnd.openxmlformats-officedocument.wordprocessingml.footer+xml"/>
  <Override PartName="/word/footer33.xml" ContentType="application/vnd.openxmlformats-officedocument.wordprocessingml.footer+xml"/>
  <Override PartName="/word/footer20.xml" ContentType="application/vnd.openxmlformats-officedocument.wordprocessingml.footer+xml"/>
  <Override PartName="/word/footer63.xml" ContentType="application/vnd.openxmlformats-officedocument.wordprocessingml.footer+xml"/>
  <Override PartName="/word/numbering.xml" ContentType="application/vnd.openxmlformats-officedocument.wordprocessingml.numbering+xml"/>
  <Override PartName="/word/footer7.xml" ContentType="application/vnd.openxmlformats-officedocument.wordprocessingml.footer+xml"/>
  <Override PartName="/word/footer32.xml" ContentType="application/vnd.openxmlformats-officedocument.wordprocessingml.footer+xml"/>
  <Override PartName="/word/settings.xml" ContentType="application/vnd.openxmlformats-officedocument.wordprocessingml.settings+xml"/>
  <Override PartName="/word/footer62.xml" ContentType="application/vnd.openxmlformats-officedocument.wordprocessingml.footer+xml"/>
  <Override PartName="/word/footer60.xml" ContentType="application/vnd.openxmlformats-officedocument.wordprocessingml.footer+xml"/>
  <Override PartName="/word/footer26.xml" ContentType="application/vnd.openxmlformats-officedocument.wordprocessingml.footer+xml"/>
  <Override PartName="/word/footer43.xml" ContentType="application/vnd.openxmlformats-officedocument.wordprocessingml.footer+xml"/>
  <Override PartName="/word/styles.xml" ContentType="application/vnd.openxmlformats-officedocument.wordprocessingml.styles+xml"/>
  <Override PartName="/word/footer37.xml" ContentType="application/vnd.openxmlformats-officedocument.wordprocessingml.footer+xml"/>
  <Override PartName="/word/footer41.xml" ContentType="application/vnd.openxmlformats-officedocument.wordprocessingml.footer+xml"/>
  <Override PartName="/word/footer24.xml" ContentType="application/vnd.openxmlformats-officedocument.wordprocessingml.footer+xml"/>
  <Override PartName="/word/footer16.xml" ContentType="application/vnd.openxmlformats-officedocument.wordprocessingml.footer+xml"/>
  <Override PartName="/word/footer59.xml" ContentType="application/vnd.openxmlformats-officedocument.wordprocessingml.footer+xml"/>
  <Override PartName="/word/footer61.xml" ContentType="application/vnd.openxmlformats-officedocument.wordprocessingml.footer+xml"/>
  <Override PartName="/word/footer27.xml" ContentType="application/vnd.openxmlformats-officedocument.wordprocessingml.footer+xml"/>
  <Override PartName="/word/footer44.xml" ContentType="application/vnd.openxmlformats-officedocument.wordprocessingml.footer+xml"/>
  <Override PartName="/word/footer3.xml" ContentType="application/vnd.openxmlformats-officedocument.wordprocessingml.footer+xml"/>
  <Override PartName="/word/footer54.xml" ContentType="application/vnd.openxmlformats-officedocument.wordprocessingml.footer+xml"/>
  <Override PartName="/word/footer11.xml" ContentType="application/vnd.openxmlformats-officedocument.wordprocessingml.footer+xml"/>
  <Override PartName="/word/footer22.xml" ContentType="application/vnd.openxmlformats-officedocument.wordprocessingml.footer+xml"/>
  <Override PartName="/word/footer1.xml" ContentType="application/vnd.openxmlformats-officedocument.wordprocessingml.footer+xml"/>
  <Override PartName="/word/footer23.xml" ContentType="application/vnd.openxmlformats-officedocument.wordprocessingml.footer+xml"/>
  <Override PartName="/word/footer40.xml" ContentType="application/vnd.openxmlformats-officedocument.wordprocessingml.footer+xml"/>
  <Override PartName="/word/footer15.xml" ContentType="application/vnd.openxmlformats-officedocument.wordprocessingml.footer+xml"/>
  <Override PartName="/word/footer58.xml" ContentType="application/vnd.openxmlformats-officedocument.wordprocessingml.footer+xml"/>
  <Override PartName="/word/document.xml" ContentType="application/vnd.openxmlformats-officedocument.wordprocessingml.document.main+xml"/>
  <Override PartName="/word/footer25.xml" ContentType="application/vnd.openxmlformats-officedocument.wordprocessingml.footer+xml"/>
  <Override PartName="/word/footer42.xml" ContentType="application/vnd.openxmlformats-officedocument.wordprocessingml.footer+xml"/>
  <Override PartName="/word/footer17.xml" ContentType="application/vnd.openxmlformats-officedocument.wordprocessingml.footer+xml"/>
  <Override PartName="/word/footer9.xml" ContentType="application/vnd.openxmlformats-officedocument.wordprocessingml.footer+xml"/>
  <Override PartName="/word/footer34.xml" ContentType="application/vnd.openxmlformats-officedocument.wordprocessingml.footer+xml"/>
  <Override PartName="/word/footer51.xml" ContentType="application/vnd.openxmlformats-officedocument.wordprocessingml.footer+xml"/>
  <Override PartName="/word/footer18.xml" ContentType="application/vnd.openxmlformats-officedocument.wordprocessingml.footer+xml"/>
  <Override PartName="/word/footer35.xml" ContentType="application/vnd.openxmlformats-officedocument.wordprocessingml.footer+xml"/>
  <Override PartName="/word/footer52.xml" ContentType="application/vnd.openxmlformats-officedocument.wordprocessingml.footer+xml"/>
  <Override PartName="/word/footer19.xml" ContentType="application/vnd.openxmlformats-officedocument.wordprocessingml.footer+xml"/>
  <Override PartName="/word/footer36.xml" ContentType="application/vnd.openxmlformats-officedocument.wordprocessingml.footer+xml"/>
  <Override PartName="/word/footer10.xml" ContentType="application/vnd.openxmlformats-officedocument.wordprocessingml.footer+xml"/>
  <Override PartName="/word/footer53.xml" ContentType="application/vnd.openxmlformats-officedocument.wordprocessingml.footer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9"/>
          <w:tab w:val="left" w:pos="567" w:leader="none"/>
          <w:tab w:val="left" w:pos="7513" w:leader="none"/>
        </w:tabs>
        <w:spacing w:lineRule="auto" w:line="240" w:before="0" w:after="0"/>
        <w:jc w:val="righ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Приложение 1 </w:t>
        <w:br/>
        <w:t>к Техническим требованиям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center"/>
        <w:rPr>
          <w:rStyle w:val="Style15"/>
          <w:rFonts w:ascii="Times New Roman" w:hAnsi="Times New Roman"/>
          <w:bCs/>
          <w:iCs/>
          <w:sz w:val="26"/>
          <w:szCs w:val="26"/>
        </w:rPr>
      </w:pPr>
      <w:r>
        <w:rPr>
          <w:rStyle w:val="Style15"/>
          <w:rFonts w:ascii="Times New Roman" w:hAnsi="Times New Roman"/>
          <w:bCs/>
          <w:iCs/>
          <w:sz w:val="26"/>
          <w:szCs w:val="26"/>
        </w:rPr>
        <w:t>[Шаблон типовой формы Приложения №1 к ТТ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center"/>
        <w:rPr>
          <w:rStyle w:val="Style15"/>
          <w:rFonts w:ascii="Times New Roman" w:hAnsi="Times New Roman"/>
          <w:bCs/>
          <w:iCs/>
          <w:sz w:val="26"/>
          <w:szCs w:val="26"/>
        </w:rPr>
      </w:pPr>
      <w:r>
        <w:rPr>
          <w:rStyle w:val="Style15"/>
          <w:rFonts w:ascii="Times New Roman" w:hAnsi="Times New Roman"/>
          <w:bCs/>
          <w:iCs/>
          <w:sz w:val="26"/>
          <w:szCs w:val="26"/>
        </w:rPr>
        <w:t xml:space="preserve">«Требования к оформлению и составлению </w:t>
        <w:br/>
        <w:t>документации по ценообразованию»]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sectPr>
          <w:footerReference w:type="default" r:id="rId2"/>
          <w:footnotePr>
            <w:numFmt w:val="decimal"/>
            <w:numRestart w:val="eachSect"/>
          </w:footnotePr>
          <w:type w:val="nextPage"/>
          <w:pgSz w:w="11906" w:h="16838"/>
          <w:pgMar w:left="1304" w:right="924" w:gutter="0" w:header="0" w:top="539" w:footer="709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Требования к оформлению и составлению документации по ценообразованию </w:t>
      </w:r>
      <w:r>
        <w:rPr>
          <w:rStyle w:val="FootnoteReference"/>
          <w:iCs/>
          <w:sz w:val="26"/>
          <w:szCs w:val="26"/>
          <w:vertAlign w:val="superscript"/>
        </w:rPr>
        <w:footnoteReference w:id="2"/>
      </w:r>
    </w:p>
    <w:p>
      <w:pPr>
        <w:pStyle w:val="TOC1"/>
        <w:rPr/>
      </w:pPr>
      <w:r>
        <w:rPr/>
        <w:t>СОДЕРЖАНИЕ:</w:t>
      </w:r>
    </w:p>
    <w:p>
      <w:pPr>
        <w:pStyle w:val="TOC1"/>
        <w:rPr/>
      </w:pPr>
      <w:r>
        <w:rPr/>
        <w:t xml:space="preserve"> </w:t>
      </w:r>
    </w:p>
    <w:tbl>
      <w:tblPr>
        <w:tblStyle w:val="af"/>
        <w:tblW w:w="1023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59"/>
        <w:gridCol w:w="8918"/>
        <w:gridCol w:w="662"/>
      </w:tblGrid>
      <w:tr>
        <w:trPr/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  <w:t xml:space="preserve">№№ </w:t>
            </w: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  <w:t>пп</w:t>
            </w:r>
          </w:p>
        </w:tc>
        <w:tc>
          <w:tcPr>
            <w:tcW w:w="89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  <w:t xml:space="preserve">Наименование 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36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  <w:t>Стр.</w:t>
            </w:r>
          </w:p>
        </w:tc>
      </w:tr>
      <w:tr>
        <w:trPr>
          <w:trHeight w:val="378" w:hRule="atLeast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100" w:after="0"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1.</w:t>
            </w:r>
          </w:p>
        </w:tc>
        <w:tc>
          <w:tcPr>
            <w:tcW w:w="89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100" w:after="0"/>
              <w:jc w:val="left"/>
              <w:rPr>
                <w:rFonts w:ascii="Times New Roman" w:hAnsi="Times New Roman"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lang w:val="ru-RU" w:eastAsia="ru-RU" w:bidi="ar-SA"/>
              </w:rPr>
              <w:t>Спецификация поставляемого оборудования………………………………………………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360" w:before="100" w:after="0"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3</w:t>
            </w:r>
          </w:p>
        </w:tc>
      </w:tr>
      <w:tr>
        <w:trPr>
          <w:trHeight w:val="369" w:hRule="atLeast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100" w:after="0"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2.</w:t>
            </w:r>
          </w:p>
        </w:tc>
        <w:tc>
          <w:tcPr>
            <w:tcW w:w="89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100" w:after="0"/>
              <w:jc w:val="left"/>
              <w:rPr>
                <w:rFonts w:ascii="Times New Roman" w:hAnsi="Times New Roman"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lang w:val="ru-RU" w:eastAsia="ru-RU" w:bidi="ar-SA"/>
              </w:rPr>
              <w:t>Основные положения по установлению требований к оформлению и составлению сметной документации ………………………………………………………………………...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/>
              <w:spacing w:lineRule="auto" w:line="240" w:before="100" w:after="0"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4</w:t>
            </w:r>
          </w:p>
        </w:tc>
      </w:tr>
      <w:tr>
        <w:trPr/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100" w:after="0"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3.</w:t>
            </w:r>
          </w:p>
        </w:tc>
        <w:tc>
          <w:tcPr>
            <w:tcW w:w="89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100" w:after="0"/>
              <w:jc w:val="left"/>
              <w:rPr>
                <w:rFonts w:ascii="Times New Roman" w:hAnsi="Times New Roman"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lang w:val="ru-RU" w:eastAsia="ru-RU" w:bidi="ar-SA"/>
              </w:rPr>
              <w:t xml:space="preserve">Приложение №1: </w:t>
            </w: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Требования к оформлению и составлению сметной документации на выполнение работ, являющихся градостроительной деятельностью…………………………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/>
              <w:spacing w:lineRule="auto" w:line="240" w:before="100" w:after="0"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7</w:t>
            </w:r>
          </w:p>
        </w:tc>
      </w:tr>
      <w:tr>
        <w:trPr/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100" w:after="0"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4.</w:t>
            </w:r>
          </w:p>
        </w:tc>
        <w:tc>
          <w:tcPr>
            <w:tcW w:w="89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100" w:after="0"/>
              <w:jc w:val="left"/>
              <w:rPr>
                <w:rFonts w:ascii="Times New Roman" w:hAnsi="Times New Roman"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lang w:val="ru-RU" w:eastAsia="ru-RU" w:bidi="ar-SA"/>
              </w:rPr>
              <w:t xml:space="preserve">Приложение №2: </w:t>
            </w: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Требования к оформлению и составлению сметной документации на выполнение работ по программе ремонтов, реконструкции и техническому перевооружению………………………………………………………………………………….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/>
              <w:spacing w:lineRule="auto" w:line="240" w:before="100" w:after="0"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14</w:t>
            </w:r>
          </w:p>
        </w:tc>
      </w:tr>
      <w:tr>
        <w:trPr/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360" w:before="100" w:after="0"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5.</w:t>
            </w:r>
          </w:p>
        </w:tc>
        <w:tc>
          <w:tcPr>
            <w:tcW w:w="89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100" w:after="0"/>
              <w:jc w:val="left"/>
              <w:rPr>
                <w:rFonts w:ascii="Times New Roman" w:hAnsi="Times New Roman"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lang w:val="ru-RU" w:eastAsia="ru-RU" w:bidi="ar-SA"/>
              </w:rPr>
              <w:t xml:space="preserve">Приложение №3: </w:t>
            </w: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Требования к оформлению и составлению расчетов на выполнение работ/услуг по программам технического обслуживания энергооборудования, сетей , зданий и сооружений ………………………………………………………………………………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lang w:val="ru-RU" w:eastAsia="ru-RU" w:bidi="ar-SA"/>
              </w:rPr>
              <w:t xml:space="preserve">  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/>
              <w:spacing w:lineRule="auto" w:line="240" w:before="100" w:after="0"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100" w:after="0"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32</w:t>
            </w:r>
          </w:p>
        </w:tc>
      </w:tr>
      <w:tr>
        <w:trPr>
          <w:trHeight w:val="463" w:hRule="atLeast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360" w:before="100" w:after="0"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6.</w:t>
            </w:r>
          </w:p>
        </w:tc>
        <w:tc>
          <w:tcPr>
            <w:tcW w:w="89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100" w:after="0"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lang w:val="ru-RU" w:eastAsia="ru-RU" w:bidi="ar-SA"/>
              </w:rPr>
              <w:t>Приложение №4:</w:t>
            </w: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 xml:space="preserve"> Требования к оформлению и составлению сметной документации на выполнение проектных и изыскательских работ………………………………………………… 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/>
              <w:spacing w:lineRule="exact" w:line="240" w:before="100" w:after="0"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42</w:t>
            </w:r>
          </w:p>
        </w:tc>
      </w:tr>
      <w:tr>
        <w:trPr/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360" w:before="100" w:after="0"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7.</w:t>
            </w:r>
          </w:p>
        </w:tc>
        <w:tc>
          <w:tcPr>
            <w:tcW w:w="89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100" w:after="0"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lang w:val="ru-RU" w:eastAsia="ru-RU" w:bidi="ar-SA"/>
              </w:rPr>
              <w:t>Приложение №5:</w:t>
            </w: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 xml:space="preserve"> Требования к оформлению и составлению смет или  расчетов на выполнение  услуг по программе НИОКР ………………………………………………………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/>
              <w:spacing w:lineRule="auto" w:line="240" w:before="100" w:after="0"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54</w:t>
            </w:r>
          </w:p>
        </w:tc>
      </w:tr>
      <w:tr>
        <w:trPr/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360" w:before="100" w:after="0"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8.</w:t>
            </w:r>
          </w:p>
        </w:tc>
        <w:tc>
          <w:tcPr>
            <w:tcW w:w="89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100" w:after="0"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lang w:val="ru-RU" w:eastAsia="ru-RU" w:bidi="ar-SA"/>
              </w:rPr>
              <w:t>Приложение №6:</w:t>
            </w: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 xml:space="preserve"> Требования к оформлению и составлению сметной документации с учетом работы в ИС «Максимо»……………………………………………………………….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/>
              <w:spacing w:lineRule="auto" w:line="240" w:before="100" w:after="0"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67</w:t>
            </w:r>
          </w:p>
        </w:tc>
      </w:tr>
      <w:tr>
        <w:trPr/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360" w:before="100" w:after="0"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9.</w:t>
            </w:r>
          </w:p>
        </w:tc>
        <w:tc>
          <w:tcPr>
            <w:tcW w:w="89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100" w:after="0"/>
              <w:jc w:val="left"/>
              <w:rPr>
                <w:rFonts w:ascii="Times New Roman" w:hAnsi="Times New Roman"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lang w:val="ru-RU" w:eastAsia="ru-RU" w:bidi="ar-SA"/>
              </w:rPr>
              <w:t>Приложение №7:</w:t>
            </w: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 xml:space="preserve"> Основные условия ценообразования к договору……………………….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/>
              <w:spacing w:lineRule="auto" w:line="240" w:before="100" w:after="0"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68</w:t>
            </w:r>
          </w:p>
        </w:tc>
      </w:tr>
    </w:tbl>
    <w:p>
      <w:pPr>
        <w:sectPr>
          <w:footerReference w:type="default" r:id="rId3"/>
          <w:footerReference w:type="first" r:id="rId4"/>
          <w:footnotePr>
            <w:numFmt w:val="decimal"/>
            <w:numRestart w:val="eachSect"/>
          </w:footnotePr>
          <w:type w:val="nextPage"/>
          <w:pgSz w:w="11906" w:h="16838"/>
          <w:pgMar w:left="1304" w:right="924" w:gutter="0" w:header="0" w:top="539" w:footer="709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jc w:val="right"/>
        <w:rPr>
          <w:rFonts w:ascii="Times New Roman" w:hAnsi="Times New Roman" w:eastAsia="Calibri"/>
        </w:rPr>
      </w:pPr>
      <w:r>
        <w:rPr>
          <w:rFonts w:eastAsia="Calibri" w:ascii="Times New Roman" w:hAnsi="Times New Roman"/>
        </w:rPr>
        <w:t xml:space="preserve">                                            </w:t>
      </w:r>
      <w:r>
        <w:br w:type="page"/>
      </w:r>
    </w:p>
    <w:p>
      <w:pPr>
        <w:pStyle w:val="Normal"/>
        <w:spacing w:lineRule="auto" w:line="240" w:before="0" w:after="0"/>
        <w:rPr>
          <w:rFonts w:ascii="Times New Roman" w:hAnsi="Times New Roman" w:eastAsia="Calibri"/>
        </w:rPr>
      </w:pPr>
      <w:r>
        <w:rPr>
          <w:rFonts w:eastAsia="Calibri"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/>
        </w:rPr>
      </w:pPr>
      <w:r>
        <w:rPr>
          <w:rFonts w:eastAsia="Calibri" w:ascii="Times New Roman" w:hAnsi="Times New Roman"/>
        </w:rPr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Style w:val="Style15"/>
          <w:rFonts w:ascii="Times New Roman" w:hAnsi="Times New Roman"/>
          <w:b w:val="false"/>
          <w:iCs/>
          <w:sz w:val="26"/>
          <w:szCs w:val="26"/>
        </w:rPr>
      </w:pPr>
      <w:r>
        <w:rPr>
          <w:rStyle w:val="Style15"/>
          <w:rFonts w:ascii="Times New Roman" w:hAnsi="Times New Roman"/>
          <w:b w:val="false"/>
          <w:iCs/>
          <w:sz w:val="26"/>
          <w:szCs w:val="26"/>
        </w:rPr>
        <w:t>Приложение № 1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Style w:val="Style15"/>
          <w:rFonts w:ascii="Times New Roman" w:hAnsi="Times New Roman"/>
          <w:b w:val="false"/>
          <w:iCs/>
          <w:sz w:val="26"/>
          <w:szCs w:val="26"/>
        </w:rPr>
      </w:pPr>
      <w:r>
        <w:rPr>
          <w:rStyle w:val="Style15"/>
          <w:rFonts w:ascii="Times New Roman" w:hAnsi="Times New Roman"/>
          <w:b w:val="false"/>
          <w:iCs/>
          <w:sz w:val="26"/>
          <w:szCs w:val="26"/>
        </w:rPr>
        <w:t>к Приложению №1 к Техническим требованиям</w:t>
        <w:br/>
        <w:t xml:space="preserve">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b/>
        </w:rPr>
      </w:pPr>
      <w:r>
        <w:rPr>
          <w:rFonts w:eastAsia="Calibri" w:ascii="Times New Roman" w:hAnsi="Times New Roman"/>
          <w:b/>
        </w:rPr>
        <w:t>Спецификация поставляемого оборудования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b/>
        </w:rPr>
      </w:pPr>
      <w:r>
        <w:rPr>
          <w:rFonts w:eastAsia="Calibri" w:ascii="Times New Roman" w:hAnsi="Times New Roman"/>
          <w:b/>
        </w:rPr>
      </w:r>
    </w:p>
    <w:tbl>
      <w:tblPr>
        <w:tblW w:w="15047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04"/>
        <w:gridCol w:w="1509"/>
        <w:gridCol w:w="993"/>
        <w:gridCol w:w="1416"/>
        <w:gridCol w:w="1276"/>
        <w:gridCol w:w="1702"/>
        <w:gridCol w:w="1134"/>
        <w:gridCol w:w="1276"/>
        <w:gridCol w:w="1276"/>
        <w:gridCol w:w="1275"/>
        <w:gridCol w:w="1134"/>
        <w:gridCol w:w="1551"/>
      </w:tblGrid>
      <w:tr>
        <w:trPr>
          <w:trHeight w:val="1005" w:hRule="atLeast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№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п/п</w:t>
            </w:r>
          </w:p>
        </w:tc>
        <w:tc>
          <w:tcPr>
            <w:tcW w:w="150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Наименование оборудования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Тип, марка, артикул</w:t>
            </w:r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Изготовитель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Страна происхождения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Технические характеристики (описание)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Стоимость ед. (руб. без НДС) </w:t>
            </w:r>
            <w:r>
              <w:rPr>
                <w:rFonts w:ascii="Times New Roman" w:hAnsi="Times New Roman"/>
                <w:b/>
                <w:color w:val="000000"/>
                <w:sz w:val="20"/>
              </w:rPr>
              <w:t>*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Общая стоимость (руб. без НДС)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Срок поставки </w:t>
            </w:r>
          </w:p>
        </w:tc>
        <w:tc>
          <w:tcPr>
            <w:tcW w:w="15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Перечень документов, подтверждающих качество Оборудования</w:t>
            </w:r>
          </w:p>
        </w:tc>
      </w:tr>
      <w:tr>
        <w:trPr>
          <w:trHeight w:val="240" w:hRule="atLeast"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1</w:t>
            </w:r>
          </w:p>
        </w:tc>
        <w:tc>
          <w:tcPr>
            <w:tcW w:w="1509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3</w:t>
            </w:r>
          </w:p>
        </w:tc>
        <w:tc>
          <w:tcPr>
            <w:tcW w:w="1416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5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hanging="430" w:left="43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7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9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11</w:t>
            </w:r>
          </w:p>
        </w:tc>
        <w:tc>
          <w:tcPr>
            <w:tcW w:w="1551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12</w:t>
            </w:r>
          </w:p>
        </w:tc>
      </w:tr>
      <w:tr>
        <w:trPr>
          <w:trHeight w:val="225" w:hRule="atLeast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5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5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</w:r>
          </w:p>
        </w:tc>
      </w:tr>
      <w:tr>
        <w:trPr>
          <w:trHeight w:val="225" w:hRule="atLeast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5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5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  <w:b/>
          <w:u w:val="single"/>
        </w:rPr>
        <w:t>Примечание</w:t>
      </w:r>
      <w:r>
        <w:rPr>
          <w:rFonts w:ascii="Times New Roman" w:hAnsi="Times New Roman"/>
        </w:rPr>
        <w:t>: в случае закупки оборудования (материалов) комплектом, в спецификации необходимо разбить его на позиции (ценообразующие и являющиеся оборудованием) с указанием полного наименования (тип, марка, артикул) каждой составляющей и стоимости за единицу.</w:t>
      </w:r>
    </w:p>
    <w:p>
      <w:pPr>
        <w:sectPr>
          <w:footerReference w:type="default" r:id="rId5"/>
          <w:footerReference w:type="first" r:id="rId6"/>
          <w:footnotePr>
            <w:numFmt w:val="decimal"/>
            <w:numRestart w:val="eachSect"/>
          </w:footnotePr>
          <w:type w:val="nextPage"/>
          <w:pgSz w:orient="landscape" w:w="16838" w:h="11906"/>
          <w:pgMar w:left="1134" w:right="539" w:gutter="0" w:header="0" w:top="1304" w:footer="709" w:bottom="924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*</w:t>
      </w:r>
      <w:r>
        <w:rPr>
          <w:rFonts w:ascii="Times New Roman" w:hAnsi="Times New Roman"/>
        </w:rPr>
        <w:t>В случае включения в спецификацию стоимости за единицу оборудования, МТР с учетом доставки, указать данное условие.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480" w:after="0"/>
        <w:jc w:val="right"/>
        <w:rPr>
          <w:rStyle w:val="Style15"/>
          <w:rFonts w:ascii="Times New Roman" w:hAnsi="Times New Roman"/>
          <w:b w:val="false"/>
          <w:iCs/>
          <w:sz w:val="26"/>
          <w:szCs w:val="26"/>
        </w:rPr>
      </w:pPr>
      <w:r>
        <w:rPr>
          <w:rStyle w:val="Style15"/>
          <w:rFonts w:ascii="Times New Roman" w:hAnsi="Times New Roman"/>
          <w:b w:val="false"/>
          <w:iCs/>
          <w:sz w:val="26"/>
          <w:szCs w:val="26"/>
        </w:rPr>
        <w:t>Приложение № 2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Style w:val="Style15"/>
          <w:rFonts w:ascii="Times New Roman" w:hAnsi="Times New Roman"/>
          <w:b w:val="false"/>
          <w:iCs/>
          <w:sz w:val="26"/>
          <w:szCs w:val="26"/>
        </w:rPr>
      </w:pPr>
      <w:r>
        <w:rPr>
          <w:rStyle w:val="Style15"/>
          <w:rFonts w:ascii="Times New Roman" w:hAnsi="Times New Roman"/>
          <w:b w:val="false"/>
          <w:iCs/>
          <w:sz w:val="26"/>
          <w:szCs w:val="26"/>
        </w:rPr>
        <w:t xml:space="preserve">к Приложению № 1 к Техническим требованиям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b/>
        </w:rPr>
      </w:pPr>
      <w:r>
        <w:rPr>
          <w:rFonts w:eastAsia="Calibri" w:ascii="Times New Roman" w:hAnsi="Times New Roman"/>
          <w:b/>
        </w:rPr>
      </w:r>
    </w:p>
    <w:p>
      <w:pPr>
        <w:pStyle w:val="Normal"/>
        <w:shd w:val="clear" w:color="auto" w:fill="FFFF99"/>
        <w:spacing w:lineRule="auto" w:line="240" w:before="0" w:after="240"/>
        <w:jc w:val="center"/>
        <w:rPr>
          <w:rFonts w:ascii="Times New Roman" w:hAnsi="Times New Roman"/>
          <w:b/>
          <w:i/>
          <w:i/>
          <w:iCs/>
          <w:sz w:val="28"/>
          <w:szCs w:val="28"/>
        </w:rPr>
      </w:pPr>
      <w:r>
        <w:rPr>
          <w:rFonts w:ascii="Times New Roman" w:hAnsi="Times New Roman"/>
          <w:b/>
          <w:i/>
          <w:iCs/>
          <w:sz w:val="28"/>
          <w:szCs w:val="28"/>
        </w:rPr>
        <w:t xml:space="preserve">Основные положения </w:t>
        <w:br/>
        <w:t xml:space="preserve">по установлению требований к оформлению и составлению </w:t>
        <w:br/>
        <w:t xml:space="preserve">сметной документации </w:t>
      </w:r>
    </w:p>
    <w:p>
      <w:pPr>
        <w:pStyle w:val="Normal"/>
        <w:shd w:val="clear" w:color="auto" w:fill="FFFF99"/>
        <w:spacing w:lineRule="auto" w:line="240" w:before="0" w:after="0"/>
        <w:rPr>
          <w:rFonts w:ascii="Times New Roman" w:hAnsi="Times New Roman"/>
          <w:b/>
          <w:i/>
          <w:i/>
          <w:iCs/>
          <w:sz w:val="24"/>
          <w:szCs w:val="24"/>
        </w:rPr>
      </w:pPr>
      <w:r>
        <w:rPr>
          <w:rFonts w:ascii="Times New Roman" w:hAnsi="Times New Roman"/>
          <w:b/>
          <w:i/>
          <w:iCs/>
          <w:sz w:val="24"/>
          <w:szCs w:val="24"/>
        </w:rPr>
        <w:t>Основные положения по сметному ценообразованию:</w:t>
      </w:r>
    </w:p>
    <w:p>
      <w:pPr>
        <w:pStyle w:val="ListParagraph"/>
        <w:numPr>
          <w:ilvl w:val="0"/>
          <w:numId w:val="4"/>
        </w:numPr>
        <w:shd w:val="clear" w:color="auto" w:fill="FFFF99"/>
        <w:tabs>
          <w:tab w:val="clear" w:pos="709"/>
          <w:tab w:val="left" w:pos="993" w:leader="none"/>
        </w:tabs>
        <w:spacing w:lineRule="auto" w:line="240" w:before="0" w:after="0"/>
        <w:ind w:firstLine="567" w:left="0"/>
        <w:contextualSpacing w:val="false"/>
        <w:jc w:val="both"/>
        <w:rPr>
          <w:rFonts w:ascii="Times New Roman" w:hAnsi="Times New Roman"/>
          <w:i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Сроки начала оказания услуг, выполнения работ, поставки товаров в Требованиях следует указывать с учетом времени на проведение закупочных процедур и согласование договора.</w:t>
      </w:r>
    </w:p>
    <w:p>
      <w:pPr>
        <w:pStyle w:val="ListParagraph"/>
        <w:numPr>
          <w:ilvl w:val="0"/>
          <w:numId w:val="4"/>
        </w:numPr>
        <w:shd w:val="clear" w:color="auto" w:fill="FFFF99"/>
        <w:tabs>
          <w:tab w:val="clear" w:pos="709"/>
          <w:tab w:val="left" w:pos="993" w:leader="none"/>
        </w:tabs>
        <w:spacing w:lineRule="auto" w:line="240" w:before="0" w:after="0"/>
        <w:ind w:firstLine="567" w:left="0"/>
        <w:contextualSpacing w:val="false"/>
        <w:jc w:val="both"/>
        <w:rPr>
          <w:rFonts w:ascii="Times New Roman" w:hAnsi="Times New Roman"/>
          <w:i/>
          <w:i/>
          <w:iCs/>
          <w:sz w:val="24"/>
          <w:szCs w:val="24"/>
        </w:rPr>
      </w:pPr>
      <w:r>
        <w:rPr>
          <w:rFonts w:ascii="Times New Roman" w:hAnsi="Times New Roman"/>
          <w:b/>
          <w:i/>
          <w:iCs/>
          <w:sz w:val="24"/>
          <w:szCs w:val="24"/>
          <w:u w:val="single"/>
        </w:rPr>
        <w:t>В Требованиях, а также ведомостях объемов работ</w:t>
      </w:r>
      <w:r>
        <w:rPr>
          <w:rFonts w:ascii="Times New Roman" w:hAnsi="Times New Roman"/>
          <w:i/>
          <w:iCs/>
          <w:sz w:val="24"/>
          <w:szCs w:val="24"/>
        </w:rPr>
        <w:t xml:space="preserve"> необходимо указывать условия производства работ и усложняющие их факторы, при наличии таковых. Данные условия принимаются</w:t>
      </w:r>
      <w:r>
        <w:rPr>
          <w:rFonts w:ascii="Times New Roman" w:hAnsi="Times New Roman"/>
          <w:bCs/>
          <w:i/>
          <w:iCs/>
          <w:sz w:val="24"/>
          <w:szCs w:val="24"/>
        </w:rPr>
        <w:t xml:space="preserve"> в соответствии с Методикой </w:t>
      </w:r>
      <w:r>
        <w:rPr>
          <w:rFonts w:ascii="Times New Roman" w:hAnsi="Times New Roman"/>
          <w:i/>
          <w:iCs/>
          <w:sz w:val="24"/>
          <w:szCs w:val="24"/>
        </w:rPr>
        <w:t>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Федерации, утвержденной Приказом Министерства строительства и ЖКХ РФ от</w:t>
      </w:r>
      <w:r>
        <w:rPr>
          <w:rFonts w:ascii="Times New Roman" w:hAnsi="Times New Roman"/>
          <w:bCs/>
          <w:i/>
          <w:iCs/>
          <w:sz w:val="24"/>
          <w:szCs w:val="24"/>
        </w:rPr>
        <w:t>04.08.2020 № 421/пр (далее-Методика определения сметной стоимости строительства), а также , особые условия, изложенные в таблице 1:</w:t>
      </w:r>
    </w:p>
    <w:p>
      <w:pPr>
        <w:pStyle w:val="ListParagraph"/>
        <w:shd w:val="clear" w:color="auto" w:fill="FFFF99"/>
        <w:tabs>
          <w:tab w:val="clear" w:pos="709"/>
          <w:tab w:val="left" w:pos="993" w:leader="none"/>
        </w:tabs>
        <w:spacing w:lineRule="auto" w:line="240" w:before="0" w:after="0"/>
        <w:ind w:hanging="720" w:left="720"/>
        <w:contextualSpacing w:val="false"/>
        <w:jc w:val="right"/>
        <w:rPr>
          <w:rFonts w:ascii="Times New Roman" w:hAnsi="Times New Roman"/>
          <w:i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Таблица 1</w:t>
      </w:r>
    </w:p>
    <w:tbl>
      <w:tblPr>
        <w:tblW w:w="5000" w:type="pct"/>
        <w:jc w:val="center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noHBand="0" w:noVBand="1" w:firstColumn="1" w:lastRow="0" w:lastColumn="0" w:firstRow="1"/>
      </w:tblPr>
      <w:tblGrid>
        <w:gridCol w:w="1488"/>
        <w:gridCol w:w="8434"/>
      </w:tblGrid>
      <w:tr>
        <w:trPr/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shd w:val="clear" w:color="auto" w:fill="FFFF99"/>
              <w:jc w:val="center"/>
              <w:rPr>
                <w:i/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 xml:space="preserve">№ </w:t>
            </w:r>
            <w:r>
              <w:rPr>
                <w:i/>
                <w:iCs/>
                <w:sz w:val="24"/>
                <w:szCs w:val="24"/>
                <w:lang w:eastAsia="en-US"/>
              </w:rPr>
              <w:t>пп</w:t>
            </w:r>
          </w:p>
        </w:tc>
        <w:tc>
          <w:tcPr>
            <w:tcW w:w="8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8"/>
              <w:shd w:val="clear" w:color="auto" w:fill="FFFF99"/>
              <w:jc w:val="center"/>
              <w:rPr>
                <w:i/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Условия производства работ</w:t>
            </w:r>
          </w:p>
        </w:tc>
      </w:tr>
      <w:tr>
        <w:trPr>
          <w:trHeight w:val="397" w:hRule="atLeast"/>
        </w:trPr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99" w:val="clear"/>
          </w:tcPr>
          <w:p>
            <w:pPr>
              <w:pStyle w:val="Style28"/>
              <w:shd w:val="clear" w:color="auto" w:fill="FFFF99"/>
              <w:jc w:val="center"/>
              <w:rPr>
                <w:i/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</w:r>
          </w:p>
        </w:tc>
        <w:tc>
          <w:tcPr>
            <w:tcW w:w="8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99" w:val="clear"/>
          </w:tcPr>
          <w:p>
            <w:pPr>
              <w:pStyle w:val="Style28"/>
              <w:shd w:val="clear" w:color="auto" w:fill="FFFF99"/>
              <w:ind w:right="137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 xml:space="preserve">Особые условия производства работ к конкретной работе, указываемые в примечании к </w:t>
            </w:r>
            <w:r>
              <w:rPr>
                <w:b/>
                <w:i/>
                <w:iCs/>
                <w:sz w:val="24"/>
                <w:szCs w:val="24"/>
                <w:u w:val="single"/>
              </w:rPr>
              <w:t>позиции в ведомости объемов работ</w:t>
            </w:r>
            <w:r>
              <w:rPr>
                <w:b/>
                <w:i/>
                <w:iCs/>
                <w:sz w:val="24"/>
                <w:szCs w:val="24"/>
              </w:rPr>
              <w:t>:</w:t>
            </w:r>
          </w:p>
        </w:tc>
      </w:tr>
      <w:tr>
        <w:trPr>
          <w:trHeight w:val="397" w:hRule="atLeast"/>
        </w:trPr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99" w:val="clear"/>
          </w:tcPr>
          <w:p>
            <w:pPr>
              <w:pStyle w:val="Style28"/>
              <w:shd w:val="clear" w:color="auto" w:fill="FFFF99"/>
              <w:jc w:val="center"/>
              <w:rPr>
                <w:i/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8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99" w:val="clear"/>
          </w:tcPr>
          <w:p>
            <w:pPr>
              <w:pStyle w:val="Style28"/>
              <w:shd w:val="clear" w:color="auto" w:fill="FFFF99"/>
              <w:ind w:right="137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Производство работ на высоте (указать высоту). </w:t>
            </w:r>
          </w:p>
        </w:tc>
      </w:tr>
      <w:tr>
        <w:trPr>
          <w:trHeight w:val="397" w:hRule="atLeast"/>
        </w:trPr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99" w:val="clear"/>
          </w:tcPr>
          <w:p>
            <w:pPr>
              <w:pStyle w:val="Style28"/>
              <w:shd w:val="clear" w:color="auto" w:fill="FFFF99"/>
              <w:jc w:val="center"/>
              <w:rPr>
                <w:i/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8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99" w:val="clear"/>
          </w:tcPr>
          <w:p>
            <w:pPr>
              <w:pStyle w:val="Style28"/>
              <w:shd w:val="clear" w:color="auto" w:fill="FFFF99"/>
              <w:ind w:right="137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Нанесение лакокрасочных материалов вручную (решетчатых поверхностей, многокомпонентные составы).</w:t>
            </w:r>
          </w:p>
        </w:tc>
      </w:tr>
      <w:tr>
        <w:trPr>
          <w:trHeight w:val="397" w:hRule="atLeast"/>
        </w:trPr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99" w:val="clear"/>
          </w:tcPr>
          <w:p>
            <w:pPr>
              <w:pStyle w:val="Style28"/>
              <w:shd w:val="clear" w:color="auto" w:fill="FFFF99"/>
              <w:jc w:val="center"/>
              <w:rPr>
                <w:i/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8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99" w:val="clear"/>
          </w:tcPr>
          <w:p>
            <w:pPr>
              <w:pStyle w:val="Style28"/>
              <w:shd w:val="clear" w:color="auto" w:fill="FFFF99"/>
              <w:ind w:right="137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Работы внутри оборудования диаметром или шириной до 1,2 м</w:t>
            </w:r>
          </w:p>
        </w:tc>
      </w:tr>
      <w:tr>
        <w:trPr>
          <w:trHeight w:val="397" w:hRule="atLeast"/>
        </w:trPr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99" w:val="clear"/>
          </w:tcPr>
          <w:p>
            <w:pPr>
              <w:pStyle w:val="Style28"/>
              <w:shd w:val="clear" w:color="auto" w:fill="FFFF99"/>
              <w:jc w:val="center"/>
              <w:rPr>
                <w:i/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8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99" w:val="clear"/>
          </w:tcPr>
          <w:p>
            <w:pPr>
              <w:pStyle w:val="Style28"/>
              <w:shd w:val="clear" w:color="auto" w:fill="FFFF99"/>
              <w:ind w:right="137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Работа с люлек. </w:t>
            </w:r>
          </w:p>
        </w:tc>
      </w:tr>
      <w:tr>
        <w:trPr>
          <w:trHeight w:val="397" w:hRule="atLeast"/>
        </w:trPr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99" w:val="clear"/>
          </w:tcPr>
          <w:p>
            <w:pPr>
              <w:pStyle w:val="Style28"/>
              <w:shd w:val="clear" w:color="auto" w:fill="FFFF99"/>
              <w:jc w:val="center"/>
              <w:rPr>
                <w:i/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8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99" w:val="clear"/>
          </w:tcPr>
          <w:p>
            <w:pPr>
              <w:pStyle w:val="Style28"/>
              <w:shd w:val="clear" w:color="auto" w:fill="FFFF99"/>
              <w:ind w:right="137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Производство работ, требующих применение предохранительных поясов.</w:t>
            </w:r>
          </w:p>
        </w:tc>
      </w:tr>
      <w:tr>
        <w:trPr>
          <w:trHeight w:val="397" w:hRule="atLeast"/>
        </w:trPr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99" w:val="clear"/>
          </w:tcPr>
          <w:p>
            <w:pPr>
              <w:pStyle w:val="Style28"/>
              <w:shd w:val="clear" w:color="auto" w:fill="FFFF99"/>
              <w:jc w:val="center"/>
              <w:rPr>
                <w:i/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8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99" w:val="clear"/>
          </w:tcPr>
          <w:p>
            <w:pPr>
              <w:pStyle w:val="Style28"/>
              <w:shd w:val="clear" w:color="auto" w:fill="FFFF99"/>
              <w:ind w:right="137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 применением лебедок.</w:t>
            </w:r>
          </w:p>
        </w:tc>
      </w:tr>
      <w:tr>
        <w:trPr>
          <w:trHeight w:val="397" w:hRule="atLeast"/>
        </w:trPr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99" w:val="clear"/>
          </w:tcPr>
          <w:p>
            <w:pPr>
              <w:pStyle w:val="Style28"/>
              <w:shd w:val="clear" w:color="auto" w:fill="FFFF99"/>
              <w:jc w:val="center"/>
              <w:rPr>
                <w:i/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8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99" w:val="clear"/>
          </w:tcPr>
          <w:p>
            <w:pPr>
              <w:pStyle w:val="Style28"/>
              <w:shd w:val="clear" w:color="auto" w:fill="FFFF99"/>
              <w:ind w:right="137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Список не является исчерпывающим</w:t>
            </w:r>
          </w:p>
        </w:tc>
      </w:tr>
    </w:tbl>
    <w:p>
      <w:pPr>
        <w:pStyle w:val="ConsPlusNormal1"/>
        <w:shd w:val="clear" w:color="auto" w:fill="FFFF99"/>
        <w:ind w:firstLine="567"/>
        <w:jc w:val="both"/>
        <w:rPr>
          <w:rFonts w:ascii="Times New Roman" w:hAnsi="Times New Roman"/>
          <w:i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Возможно включение и других условий производства работ, кроме указанных в таблице №1, в зависимости от характера выполняемых работ (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реконструкция, капитальный ремонт, пусконаладочные работы), </w:t>
      </w:r>
      <w:r>
        <w:rPr>
          <w:rFonts w:ascii="Times New Roman" w:hAnsi="Times New Roman"/>
          <w:i/>
          <w:iCs/>
          <w:sz w:val="24"/>
          <w:szCs w:val="24"/>
        </w:rPr>
        <w:t>при условии их наличия в проекте производства работ, Технических требованиях (далее –ТТ), ведомости объемов работ (далее –ВОР), проектной документации.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</w:p>
    <w:p>
      <w:pPr>
        <w:pStyle w:val="ListParagraph"/>
        <w:numPr>
          <w:ilvl w:val="0"/>
          <w:numId w:val="4"/>
        </w:numPr>
        <w:shd w:val="clear" w:color="auto" w:fill="FFFF99"/>
        <w:tabs>
          <w:tab w:val="clear" w:pos="709"/>
          <w:tab w:val="left" w:pos="993" w:leader="none"/>
        </w:tabs>
        <w:spacing w:lineRule="auto" w:line="240" w:before="0" w:after="0"/>
        <w:ind w:firstLine="567" w:left="0"/>
        <w:contextualSpacing w:val="false"/>
        <w:jc w:val="both"/>
        <w:rPr>
          <w:rFonts w:ascii="Times New Roman" w:hAnsi="Times New Roman"/>
          <w:i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При необходимости включения резерва средств на непредвиденные работы и затраты указать данное условие в Требованиях </w:t>
      </w:r>
      <w:bookmarkStart w:id="0" w:name="_Hlk77167621"/>
      <w:r>
        <w:rPr>
          <w:rFonts w:ascii="Times New Roman" w:hAnsi="Times New Roman"/>
          <w:i/>
          <w:iCs/>
          <w:sz w:val="24"/>
          <w:szCs w:val="24"/>
        </w:rPr>
        <w:t xml:space="preserve">в размерах, </w:t>
      </w:r>
      <w:bookmarkStart w:id="1" w:name="_Hlk77167858"/>
      <w:r>
        <w:rPr>
          <w:rFonts w:ascii="Times New Roman" w:hAnsi="Times New Roman"/>
          <w:i/>
          <w:iCs/>
          <w:sz w:val="24"/>
          <w:szCs w:val="24"/>
        </w:rPr>
        <w:t>не превышающих рекомендованные в действующем нормативном документе, внесенном в Федеральный реестр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</w:t>
      </w:r>
      <w:bookmarkEnd w:id="0"/>
      <w:bookmarkEnd w:id="1"/>
      <w:r>
        <w:rPr>
          <w:rFonts w:ascii="Times New Roman" w:hAnsi="Times New Roman"/>
          <w:i/>
          <w:iCs/>
          <w:sz w:val="24"/>
          <w:szCs w:val="24"/>
        </w:rPr>
        <w:t xml:space="preserve"> (далее – ФРСН). </w:t>
      </w:r>
      <w:bookmarkStart w:id="2" w:name="_Hlk77167720"/>
      <w:r>
        <w:rPr>
          <w:rFonts w:ascii="Times New Roman" w:hAnsi="Times New Roman"/>
          <w:i/>
          <w:iCs/>
          <w:sz w:val="24"/>
          <w:szCs w:val="24"/>
        </w:rPr>
        <w:t>Резерв средств на непредвиденные работы и затраты определяется от итогов по главам 1 – 12 сводного сметного расчета стоимости и учитывается в сводном сметном расчете отдельной строкой</w:t>
      </w:r>
      <w:bookmarkEnd w:id="2"/>
      <w:r>
        <w:rPr>
          <w:rFonts w:ascii="Times New Roman" w:hAnsi="Times New Roman"/>
          <w:i/>
          <w:iCs/>
          <w:sz w:val="24"/>
          <w:szCs w:val="24"/>
        </w:rPr>
        <w:t xml:space="preserve">. </w:t>
      </w:r>
    </w:p>
    <w:p>
      <w:pPr>
        <w:pStyle w:val="ListParagraph"/>
        <w:shd w:val="clear" w:color="auto" w:fill="FFFF99"/>
        <w:tabs>
          <w:tab w:val="clear" w:pos="709"/>
          <w:tab w:val="left" w:pos="993" w:leader="none"/>
        </w:tabs>
        <w:spacing w:lineRule="auto" w:line="240" w:before="0" w:after="0"/>
        <w:ind w:firstLine="567" w:left="0"/>
        <w:contextualSpacing w:val="false"/>
        <w:jc w:val="both"/>
        <w:rPr>
          <w:rFonts w:ascii="Times New Roman" w:hAnsi="Times New Roman"/>
          <w:i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В Требованиях необходимо указывать </w:t>
      </w:r>
      <w:r>
        <w:rPr>
          <w:rFonts w:ascii="Times New Roman" w:hAnsi="Times New Roman"/>
          <w:b/>
          <w:i/>
          <w:iCs/>
          <w:sz w:val="24"/>
          <w:szCs w:val="24"/>
          <w:u w:val="single"/>
        </w:rPr>
        <w:t>конкретный процент</w:t>
      </w:r>
      <w:r>
        <w:rPr>
          <w:rFonts w:ascii="Times New Roman" w:hAnsi="Times New Roman"/>
          <w:i/>
          <w:iCs/>
          <w:sz w:val="24"/>
          <w:szCs w:val="24"/>
        </w:rPr>
        <w:t xml:space="preserve"> резерва средств на непредвиденные работы и затраты, не допускается указывать - «до____%». </w:t>
      </w:r>
    </w:p>
    <w:p>
      <w:pPr>
        <w:pStyle w:val="ListParagraph"/>
        <w:shd w:val="clear" w:color="auto" w:fill="FFFF99"/>
        <w:tabs>
          <w:tab w:val="clear" w:pos="709"/>
          <w:tab w:val="left" w:pos="993" w:leader="none"/>
        </w:tabs>
        <w:spacing w:lineRule="auto" w:line="240" w:before="0" w:after="0"/>
        <w:ind w:firstLine="567" w:left="0"/>
        <w:contextualSpacing w:val="false"/>
        <w:jc w:val="both"/>
        <w:rPr>
          <w:rFonts w:ascii="Times New Roman" w:hAnsi="Times New Roman"/>
          <w:i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На дополнительные работы резерв средств на непредвиденные работы и затраты не начисляется.</w:t>
      </w:r>
    </w:p>
    <w:p>
      <w:pPr>
        <w:pStyle w:val="ListParagraph"/>
        <w:shd w:val="clear" w:color="auto" w:fill="FFFF99"/>
        <w:tabs>
          <w:tab w:val="clear" w:pos="709"/>
          <w:tab w:val="left" w:pos="993" w:leader="none"/>
        </w:tabs>
        <w:spacing w:lineRule="auto" w:line="240" w:before="0" w:after="0"/>
        <w:ind w:firstLine="567" w:left="0"/>
        <w:contextualSpacing w:val="false"/>
        <w:jc w:val="both"/>
        <w:rPr>
          <w:rFonts w:ascii="Times New Roman" w:hAnsi="Times New Roman"/>
          <w:i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Лимит средств на непредвиденные работы и затраты в ходе исполнения договора не меняется.</w:t>
      </w:r>
    </w:p>
    <w:p>
      <w:pPr>
        <w:pStyle w:val="ListParagraph"/>
        <w:shd w:val="clear" w:color="auto" w:fill="FFFF99"/>
        <w:tabs>
          <w:tab w:val="clear" w:pos="709"/>
          <w:tab w:val="left" w:pos="993" w:leader="none"/>
        </w:tabs>
        <w:spacing w:lineRule="auto" w:line="240" w:before="0" w:after="0"/>
        <w:ind w:firstLine="567" w:left="0"/>
        <w:contextualSpacing w:val="false"/>
        <w:jc w:val="both"/>
        <w:rPr>
          <w:rFonts w:ascii="Times New Roman" w:hAnsi="Times New Roman"/>
          <w:i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Условия оплаты непредвиденных расходов обязательно указывать в договоре.</w:t>
      </w:r>
    </w:p>
    <w:p>
      <w:pPr>
        <w:pStyle w:val="ListParagraph"/>
        <w:numPr>
          <w:ilvl w:val="0"/>
          <w:numId w:val="4"/>
        </w:numPr>
        <w:shd w:val="clear" w:color="auto" w:fill="FFFF99"/>
        <w:tabs>
          <w:tab w:val="clear" w:pos="709"/>
          <w:tab w:val="left" w:pos="993" w:leader="none"/>
        </w:tabs>
        <w:spacing w:lineRule="auto" w:line="240" w:before="0" w:after="0"/>
        <w:ind w:firstLine="567" w:left="0"/>
        <w:contextualSpacing w:val="false"/>
        <w:jc w:val="both"/>
        <w:rPr>
          <w:rFonts w:ascii="Times New Roman" w:hAnsi="Times New Roman"/>
          <w:i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В Требованиях обязательно выделять отдельным приложением «Требования к оформлению и составлению сметной документации» (см. приложения ниже).</w:t>
      </w:r>
    </w:p>
    <w:p>
      <w:pPr>
        <w:pStyle w:val="ListParagraph"/>
        <w:numPr>
          <w:ilvl w:val="0"/>
          <w:numId w:val="4"/>
        </w:numPr>
        <w:shd w:val="clear" w:color="auto" w:fill="FFFF99"/>
        <w:tabs>
          <w:tab w:val="clear" w:pos="709"/>
          <w:tab w:val="left" w:pos="993" w:leader="none"/>
        </w:tabs>
        <w:spacing w:lineRule="auto" w:line="240" w:before="0" w:after="0"/>
        <w:ind w:firstLine="567" w:left="0"/>
        <w:contextualSpacing w:val="false"/>
        <w:jc w:val="both"/>
        <w:rPr>
          <w:rFonts w:ascii="Times New Roman" w:hAnsi="Times New Roman"/>
          <w:b/>
          <w:i/>
          <w:i/>
          <w:iCs/>
          <w:sz w:val="24"/>
          <w:szCs w:val="24"/>
          <w:u w:val="single"/>
        </w:rPr>
      </w:pPr>
      <w:r>
        <w:rPr>
          <w:rFonts w:ascii="Times New Roman" w:hAnsi="Times New Roman"/>
          <w:i/>
          <w:iCs/>
          <w:sz w:val="24"/>
          <w:szCs w:val="24"/>
        </w:rPr>
        <w:t>Если разделом 4 ТТ предусмотрено формирование сметной документации на этапе исполнения договора, то «Требования к оформлению и составлению сметной документации» в обязательном порядке включаются в состав заключаемых договоров.</w:t>
      </w:r>
    </w:p>
    <w:p>
      <w:pPr>
        <w:pStyle w:val="ListParagraph"/>
        <w:numPr>
          <w:ilvl w:val="0"/>
          <w:numId w:val="4"/>
        </w:numPr>
        <w:shd w:val="clear" w:color="auto" w:fill="FFFF99"/>
        <w:tabs>
          <w:tab w:val="clear" w:pos="709"/>
          <w:tab w:val="left" w:pos="993" w:leader="none"/>
        </w:tabs>
        <w:spacing w:lineRule="auto" w:line="240" w:before="0" w:after="0"/>
        <w:ind w:firstLine="567" w:left="0"/>
        <w:contextualSpacing w:val="false"/>
        <w:jc w:val="both"/>
        <w:rPr>
          <w:rFonts w:ascii="Times New Roman" w:hAnsi="Times New Roman"/>
          <w:i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Предоставляемые Заказчиком давальческие материально-технические ресурсы, запчасти, оборудование </w:t>
      </w:r>
      <w:r>
        <w:rPr>
          <w:rFonts w:ascii="Times New Roman" w:hAnsi="Times New Roman"/>
          <w:b/>
          <w:i/>
          <w:iCs/>
          <w:sz w:val="24"/>
          <w:szCs w:val="24"/>
          <w:u w:val="single"/>
        </w:rPr>
        <w:t xml:space="preserve">указывать в ТТ с приложением перечня </w:t>
      </w:r>
      <w:r>
        <w:rPr>
          <w:rFonts w:ascii="Times New Roman" w:hAnsi="Times New Roman"/>
          <w:i/>
          <w:iCs/>
          <w:sz w:val="24"/>
          <w:szCs w:val="24"/>
        </w:rPr>
        <w:t>материально-технических ресурсов, запчастей, оборудования Заказчика</w:t>
      </w:r>
      <w:r>
        <w:rPr>
          <w:rFonts w:ascii="Times New Roman" w:hAnsi="Times New Roman"/>
          <w:b/>
          <w:i/>
          <w:iCs/>
          <w:sz w:val="24"/>
          <w:szCs w:val="24"/>
        </w:rPr>
        <w:t>.</w:t>
      </w:r>
    </w:p>
    <w:p>
      <w:pPr>
        <w:pStyle w:val="ListParagraph"/>
        <w:numPr>
          <w:ilvl w:val="0"/>
          <w:numId w:val="4"/>
        </w:numPr>
        <w:shd w:val="clear" w:color="auto" w:fill="FFFF99"/>
        <w:tabs>
          <w:tab w:val="clear" w:pos="709"/>
          <w:tab w:val="left" w:pos="993" w:leader="none"/>
        </w:tabs>
        <w:spacing w:lineRule="auto" w:line="240" w:before="0" w:after="0"/>
        <w:ind w:firstLine="567" w:left="0"/>
        <w:contextualSpacing w:val="false"/>
        <w:jc w:val="both"/>
        <w:rPr>
          <w:rFonts w:ascii="Times New Roman" w:hAnsi="Times New Roman"/>
          <w:i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Предоставляемые Заказчиком Услуги указывать в разделе «Иные условия поставки товаров, выполнения работ, оказания услуг» ТТ.</w:t>
      </w:r>
    </w:p>
    <w:p>
      <w:pPr>
        <w:pStyle w:val="ListParagraph"/>
        <w:numPr>
          <w:ilvl w:val="0"/>
          <w:numId w:val="4"/>
        </w:numPr>
        <w:shd w:val="clear" w:color="auto" w:fill="FFFF99"/>
        <w:tabs>
          <w:tab w:val="clear" w:pos="709"/>
          <w:tab w:val="left" w:pos="993" w:leader="none"/>
        </w:tabs>
        <w:spacing w:lineRule="auto" w:line="240" w:before="0" w:after="0"/>
        <w:ind w:firstLine="567" w:left="0"/>
        <w:contextualSpacing w:val="false"/>
        <w:jc w:val="both"/>
        <w:rPr>
          <w:rFonts w:ascii="Times New Roman" w:hAnsi="Times New Roman"/>
          <w:i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В случае выполнения работ с внесением в ИС «Максимо» прописать данное условие в Требованиях.</w:t>
      </w:r>
    </w:p>
    <w:p>
      <w:pPr>
        <w:pStyle w:val="ListParagraph"/>
        <w:numPr>
          <w:ilvl w:val="0"/>
          <w:numId w:val="4"/>
        </w:numPr>
        <w:shd w:val="clear" w:color="auto" w:fill="FFFF99"/>
        <w:tabs>
          <w:tab w:val="clear" w:pos="709"/>
          <w:tab w:val="left" w:pos="993" w:leader="none"/>
        </w:tabs>
        <w:spacing w:lineRule="auto" w:line="240" w:before="0" w:after="0"/>
        <w:ind w:firstLine="567" w:left="0"/>
        <w:contextualSpacing w:val="false"/>
        <w:jc w:val="both"/>
        <w:rPr>
          <w:rFonts w:ascii="Times New Roman" w:hAnsi="Times New Roman"/>
          <w:i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При выполнении работ в ИС «Максимо» «Требования к оформлению и составлению сметной документации» дополняются требованиями к оформлению и составлению сметной документации с учетом работы в ИС «Максимо» (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Приложение № 6 к</w:t>
      </w:r>
      <w:r>
        <w:rPr>
          <w:rFonts w:ascii="Times New Roman" w:hAnsi="Times New Roman"/>
          <w:i/>
          <w:iCs/>
          <w:sz w:val="24"/>
          <w:szCs w:val="24"/>
        </w:rPr>
        <w:t xml:space="preserve"> Основным положениям по сметному ценообразованию). </w:t>
      </w:r>
    </w:p>
    <w:p>
      <w:pPr>
        <w:pStyle w:val="ListParagraph"/>
        <w:shd w:val="clear" w:color="auto" w:fill="FFFF99"/>
        <w:tabs>
          <w:tab w:val="clear" w:pos="709"/>
          <w:tab w:val="left" w:pos="993" w:leader="none"/>
        </w:tabs>
        <w:spacing w:lineRule="auto" w:line="240" w:before="0" w:after="0"/>
        <w:ind w:left="567"/>
        <w:contextualSpacing w:val="false"/>
        <w:jc w:val="both"/>
        <w:rPr>
          <w:rFonts w:ascii="Times New Roman" w:hAnsi="Times New Roman"/>
          <w:i/>
          <w:i/>
          <w:iCs/>
          <w:strike/>
          <w:sz w:val="24"/>
          <w:szCs w:val="24"/>
        </w:rPr>
      </w:pPr>
      <w:r>
        <w:rPr>
          <w:rFonts w:ascii="Times New Roman" w:hAnsi="Times New Roman"/>
          <w:i/>
          <w:iCs/>
          <w:strike/>
          <w:sz w:val="24"/>
          <w:szCs w:val="24"/>
        </w:rPr>
      </w:r>
    </w:p>
    <w:p>
      <w:pPr>
        <w:pStyle w:val="ListParagraph"/>
        <w:shd w:val="clear" w:color="auto" w:fill="FFFF99"/>
        <w:tabs>
          <w:tab w:val="clear" w:pos="709"/>
          <w:tab w:val="left" w:pos="993" w:leader="none"/>
        </w:tabs>
        <w:spacing w:lineRule="auto" w:line="240" w:before="0" w:after="0"/>
        <w:ind w:left="567"/>
        <w:contextualSpacing w:val="false"/>
        <w:jc w:val="both"/>
        <w:rPr>
          <w:rFonts w:ascii="Times New Roman" w:hAnsi="Times New Roman"/>
          <w:b/>
          <w:i/>
          <w:i/>
          <w:iCs/>
          <w:sz w:val="24"/>
          <w:szCs w:val="24"/>
        </w:rPr>
      </w:pPr>
      <w:r>
        <w:rPr>
          <w:rFonts w:ascii="Times New Roman" w:hAnsi="Times New Roman"/>
          <w:b/>
          <w:i/>
          <w:iCs/>
          <w:sz w:val="24"/>
          <w:szCs w:val="24"/>
        </w:rPr>
        <w:t>Разъяснения по вопросам оформления Приложения №1 к ТТ «Требования к оформлению и составлению сметной документации»:</w:t>
      </w:r>
    </w:p>
    <w:p>
      <w:pPr>
        <w:pStyle w:val="Normal"/>
        <w:shd w:val="clear" w:color="auto" w:fill="FFFF99"/>
        <w:tabs>
          <w:tab w:val="clear" w:pos="709"/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b/>
          <w:i/>
          <w:i/>
          <w:iCs/>
          <w:sz w:val="24"/>
          <w:szCs w:val="24"/>
          <w:u w:val="single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При формировании «Требований к оформлению и составлению сметной документации…» отдельным приложением к ТТ </w:t>
      </w:r>
      <w:r>
        <w:rPr>
          <w:rFonts w:ascii="Times New Roman" w:hAnsi="Times New Roman"/>
          <w:b/>
          <w:i/>
          <w:iCs/>
          <w:sz w:val="24"/>
          <w:szCs w:val="24"/>
          <w:u w:val="single"/>
        </w:rPr>
        <w:t>допускается:</w:t>
      </w:r>
    </w:p>
    <w:p>
      <w:pPr>
        <w:pStyle w:val="ListParagraph"/>
        <w:numPr>
          <w:ilvl w:val="0"/>
          <w:numId w:val="15"/>
        </w:numPr>
        <w:shd w:val="clear" w:color="auto" w:fill="FFFF99"/>
        <w:tabs>
          <w:tab w:val="clear" w:pos="709"/>
          <w:tab w:val="left" w:pos="993" w:leader="none"/>
        </w:tabs>
        <w:spacing w:lineRule="auto" w:line="240" w:before="0" w:after="0"/>
        <w:ind w:firstLine="567" w:left="0"/>
        <w:contextualSpacing w:val="false"/>
        <w:jc w:val="both"/>
        <w:rPr>
          <w:rFonts w:ascii="Times New Roman" w:hAnsi="Times New Roman"/>
          <w:i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Исключать пункты, указанные в Требованиях к оформлению и составлению сметной документации (приложений №№1-6), в случаях их отсутствия в ТТ (договоре) (например: лимитированные затраты, непредвиденные расходы и т.д.).</w:t>
      </w:r>
    </w:p>
    <w:p>
      <w:pPr>
        <w:pStyle w:val="ListParagraph"/>
        <w:numPr>
          <w:ilvl w:val="0"/>
          <w:numId w:val="15"/>
        </w:numPr>
        <w:shd w:val="clear" w:color="auto" w:fill="FFFF99"/>
        <w:tabs>
          <w:tab w:val="clear" w:pos="709"/>
          <w:tab w:val="left" w:pos="993" w:leader="none"/>
        </w:tabs>
        <w:spacing w:lineRule="auto" w:line="240" w:before="0" w:after="0"/>
        <w:ind w:firstLine="567" w:left="0"/>
        <w:contextualSpacing w:val="false"/>
        <w:jc w:val="both"/>
        <w:rPr>
          <w:rFonts w:ascii="Times New Roman" w:hAnsi="Times New Roman"/>
          <w:b/>
          <w:bCs/>
          <w:i/>
          <w:i/>
          <w:i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FF0000"/>
          <w:sz w:val="24"/>
          <w:szCs w:val="24"/>
        </w:rPr>
        <w:t xml:space="preserve">Текст, выделенный красным цветом, подлежит удалению, </w:t>
      </w:r>
      <w:r>
        <w:rPr>
          <w:rFonts w:ascii="Times New Roman" w:hAnsi="Times New Roman"/>
          <w:b/>
          <w:bCs/>
          <w:i/>
          <w:iCs/>
          <w:color w:val="FF0000"/>
          <w:sz w:val="24"/>
          <w:szCs w:val="24"/>
          <w:shd w:fill="FFFF99" w:val="clear"/>
        </w:rPr>
        <w:t>при этом в текст документа включаются необходимые данные</w:t>
      </w:r>
      <w:r>
        <w:rPr>
          <w:rFonts w:ascii="Times New Roman" w:hAnsi="Times New Roman"/>
          <w:b/>
          <w:bCs/>
          <w:i/>
          <w:iCs/>
          <w:color w:val="FF0000"/>
          <w:sz w:val="24"/>
          <w:szCs w:val="24"/>
        </w:rPr>
        <w:t>.</w:t>
      </w:r>
    </w:p>
    <w:p>
      <w:pPr>
        <w:pStyle w:val="ListParagraph"/>
        <w:numPr>
          <w:ilvl w:val="0"/>
          <w:numId w:val="15"/>
        </w:numPr>
        <w:shd w:val="clear" w:color="auto" w:fill="FFFF99"/>
        <w:tabs>
          <w:tab w:val="clear" w:pos="709"/>
          <w:tab w:val="left" w:pos="993" w:leader="none"/>
        </w:tabs>
        <w:spacing w:lineRule="auto" w:line="240" w:before="0" w:after="0"/>
        <w:ind w:firstLine="567" w:left="0"/>
        <w:contextualSpacing w:val="false"/>
        <w:jc w:val="both"/>
        <w:rPr>
          <w:rFonts w:ascii="Times New Roman" w:hAnsi="Times New Roman"/>
          <w:i/>
          <w:i/>
          <w:iCs/>
          <w:sz w:val="24"/>
          <w:szCs w:val="24"/>
          <w:highlight w:val="lightGray"/>
        </w:rPr>
      </w:pPr>
      <w:r>
        <w:rPr>
          <w:rFonts w:ascii="Times New Roman" w:hAnsi="Times New Roman"/>
          <w:i/>
          <w:iCs/>
          <w:sz w:val="24"/>
          <w:szCs w:val="24"/>
          <w:highlight w:val="lightGray"/>
        </w:rPr>
        <w:t>Текст, выделенный серым цветом, включается в ТТ при необходимости.</w:t>
      </w:r>
    </w:p>
    <w:p>
      <w:pPr>
        <w:pStyle w:val="ListParagraph"/>
        <w:numPr>
          <w:ilvl w:val="0"/>
          <w:numId w:val="15"/>
        </w:numPr>
        <w:shd w:val="clear" w:color="auto" w:fill="FFFF99"/>
        <w:tabs>
          <w:tab w:val="clear" w:pos="709"/>
          <w:tab w:val="left" w:pos="993" w:leader="none"/>
        </w:tabs>
        <w:spacing w:lineRule="auto" w:line="240" w:before="0" w:after="0"/>
        <w:ind w:firstLine="567" w:left="0"/>
        <w:contextualSpacing w:val="false"/>
        <w:jc w:val="both"/>
        <w:rPr>
          <w:rFonts w:ascii="Times New Roman" w:hAnsi="Times New Roman"/>
          <w:i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Включать дополнительные изменения в Требованиях к оформлению и составлению сметной документации (приложений №№1-5) при учете работы в ИС «Максимо».</w:t>
      </w:r>
    </w:p>
    <w:p>
      <w:pPr>
        <w:pStyle w:val="ListParagraph"/>
        <w:numPr>
          <w:ilvl w:val="0"/>
          <w:numId w:val="15"/>
        </w:numPr>
        <w:shd w:val="clear" w:color="auto" w:fill="FFFF99"/>
        <w:tabs>
          <w:tab w:val="clear" w:pos="709"/>
          <w:tab w:val="left" w:pos="993" w:leader="none"/>
        </w:tabs>
        <w:spacing w:lineRule="auto" w:line="240" w:before="60" w:after="0"/>
        <w:ind w:firstLine="567" w:left="0"/>
        <w:contextualSpacing w:val="false"/>
        <w:jc w:val="both"/>
        <w:rPr>
          <w:rFonts w:ascii="Times New Roman" w:hAnsi="Times New Roman"/>
          <w:i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Включать дополнительные изменения в Требованиях к оформлению и составлению сметной документации (приложений №№1-6) при наличии необходимости исключения противоречий с утвержденными сметными нормативами, требованиями по ценообразованию ПАО «РусГидро» (Методикой формирования плановой цены на закупаемую продукцию для организаций Группы РусГидро) и органов исполнительной власти, уполномоченных в области сметного нормирования и ценообразования в сфере градостроительной деятельности.</w:t>
      </w:r>
    </w:p>
    <w:p>
      <w:pPr>
        <w:pStyle w:val="ListParagraph"/>
        <w:numPr>
          <w:ilvl w:val="0"/>
          <w:numId w:val="15"/>
        </w:numPr>
        <w:shd w:val="clear" w:color="auto" w:fill="FFFF99"/>
        <w:tabs>
          <w:tab w:val="clear" w:pos="709"/>
          <w:tab w:val="left" w:pos="993" w:leader="none"/>
        </w:tabs>
        <w:spacing w:lineRule="auto" w:line="240" w:before="60" w:after="0"/>
        <w:ind w:firstLine="567" w:left="0"/>
        <w:contextualSpacing w:val="false"/>
        <w:jc w:val="both"/>
        <w:rPr>
          <w:rFonts w:ascii="Times New Roman" w:hAnsi="Times New Roman"/>
          <w:i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При необходимости разработки сметной документации в составе рабочей документации, </w:t>
      </w:r>
      <w:bookmarkStart w:id="3" w:name="_Hlk158215477"/>
      <w:r>
        <w:rPr>
          <w:rFonts w:ascii="Times New Roman" w:hAnsi="Times New Roman"/>
          <w:i/>
          <w:iCs/>
          <w:sz w:val="24"/>
          <w:szCs w:val="24"/>
        </w:rPr>
        <w:t>необходимо дополнить ТТ «Требованиями к оформлению и составлению сметной документации в составе рабочей документации».</w:t>
      </w:r>
      <w:bookmarkEnd w:id="3"/>
      <w:r>
        <w:rPr>
          <w:rFonts w:ascii="Times New Roman" w:hAnsi="Times New Roman"/>
          <w:i/>
          <w:iCs/>
          <w:sz w:val="24"/>
          <w:szCs w:val="24"/>
        </w:rPr>
        <w:t xml:space="preserve"> </w:t>
      </w:r>
    </w:p>
    <w:p>
      <w:pPr>
        <w:pStyle w:val="ListParagraph"/>
        <w:numPr>
          <w:ilvl w:val="0"/>
          <w:numId w:val="15"/>
        </w:numPr>
        <w:shd w:val="clear" w:color="auto" w:fill="FFFF99"/>
        <w:tabs>
          <w:tab w:val="clear" w:pos="709"/>
          <w:tab w:val="left" w:pos="993" w:leader="none"/>
        </w:tabs>
        <w:spacing w:lineRule="auto" w:line="240" w:before="60" w:after="0"/>
        <w:ind w:firstLine="567" w:left="0"/>
        <w:contextualSpacing w:val="false"/>
        <w:jc w:val="both"/>
        <w:rPr>
          <w:rFonts w:ascii="Times New Roman" w:hAnsi="Times New Roman"/>
          <w:i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При оформлении сметной документации по Программе ремонтов, как приложения к договору, руководствоваться не только данными, указанными в Требованиях к оформлению и составлению сметной документации, разработанными на основании работы с учетом ИС «Максимо», но и основными положениями по оформлению сметной документации, указанными в Методике с учетом актуальных изменений и дополнений к ней.</w:t>
      </w:r>
    </w:p>
    <w:p>
      <w:pPr>
        <w:pStyle w:val="ConsPlusNormal1"/>
        <w:widowControl/>
        <w:shd w:val="clear" w:color="auto" w:fill="FFFF99"/>
        <w:tabs>
          <w:tab w:val="clear" w:pos="709"/>
          <w:tab w:val="left" w:pos="993" w:leader="none"/>
        </w:tabs>
        <w:spacing w:before="60" w:after="0"/>
        <w:ind w:firstLine="567"/>
        <w:jc w:val="both"/>
        <w:rPr>
          <w:rFonts w:ascii="Times New Roman" w:hAnsi="Times New Roman" w:eastAsia="Calibri" w:cs="Times New Roman"/>
          <w:i/>
          <w:i/>
          <w:iCs/>
          <w:sz w:val="24"/>
          <w:szCs w:val="24"/>
        </w:rPr>
      </w:pPr>
      <w:r>
        <w:rPr>
          <w:rFonts w:eastAsia="Calibri" w:cs="Times New Roman" w:ascii="Times New Roman" w:hAnsi="Times New Roman"/>
          <w:i/>
          <w:iCs/>
          <w:sz w:val="24"/>
          <w:szCs w:val="24"/>
        </w:rPr>
        <w:t>Основными нормативными базами для составления сметной документации на выполнение работ для нужд ПАО «РусГидро» являются:</w:t>
      </w:r>
    </w:p>
    <w:p>
      <w:pPr>
        <w:pStyle w:val="ConsPlusNormal1"/>
        <w:widowControl/>
        <w:numPr>
          <w:ilvl w:val="0"/>
          <w:numId w:val="16"/>
        </w:numPr>
        <w:shd w:val="clear" w:color="auto" w:fill="FFFF99"/>
        <w:tabs>
          <w:tab w:val="clear" w:pos="709"/>
          <w:tab w:val="left" w:pos="993" w:leader="none"/>
        </w:tabs>
        <w:spacing w:before="60" w:after="0"/>
        <w:ind w:firstLine="567" w:left="0"/>
        <w:jc w:val="both"/>
        <w:rPr>
          <w:rFonts w:ascii="Times New Roman" w:hAnsi="Times New Roman" w:cs="Times New Roman"/>
          <w:i/>
          <w:i/>
          <w:iCs/>
          <w:sz w:val="24"/>
          <w:szCs w:val="24"/>
        </w:rPr>
      </w:pPr>
      <w:r>
        <w:rPr>
          <w:rFonts w:eastAsia="Calibri" w:cs="Times New Roman" w:ascii="Times New Roman" w:hAnsi="Times New Roman"/>
          <w:i/>
          <w:iCs/>
          <w:sz w:val="24"/>
          <w:szCs w:val="24"/>
        </w:rPr>
        <w:t xml:space="preserve">база, утвержденная </w:t>
      </w:r>
      <w:r>
        <w:rPr>
          <w:rFonts w:cs="Times New Roman" w:ascii="Times New Roman" w:hAnsi="Times New Roman"/>
          <w:i/>
          <w:iCs/>
          <w:sz w:val="24"/>
          <w:szCs w:val="24"/>
        </w:rPr>
        <w:t>органом исполнительной власти, уполномоченным в области сметного нормирования и ценообразования в сфере градостроительной деятельности</w:t>
      </w:r>
      <w:r>
        <w:rPr>
          <w:rFonts w:eastAsia="Calibri" w:cs="Times New Roman" w:ascii="Times New Roman" w:hAnsi="Times New Roman"/>
          <w:i/>
          <w:iCs/>
          <w:sz w:val="24"/>
          <w:szCs w:val="24"/>
        </w:rPr>
        <w:t xml:space="preserve"> России</w:t>
      </w:r>
      <w:r>
        <w:rPr>
          <w:rFonts w:cs="Times New Roman" w:ascii="Times New Roman" w:hAnsi="Times New Roman"/>
          <w:i/>
          <w:iCs/>
          <w:sz w:val="24"/>
          <w:szCs w:val="24"/>
        </w:rPr>
        <w:t>;</w:t>
      </w:r>
    </w:p>
    <w:p>
      <w:pPr>
        <w:pStyle w:val="ConsPlusNormal1"/>
        <w:widowControl/>
        <w:numPr>
          <w:ilvl w:val="0"/>
          <w:numId w:val="16"/>
        </w:numPr>
        <w:shd w:val="clear" w:color="auto" w:fill="FFFF99"/>
        <w:tabs>
          <w:tab w:val="clear" w:pos="709"/>
          <w:tab w:val="left" w:pos="993" w:leader="none"/>
        </w:tabs>
        <w:spacing w:before="60" w:after="0"/>
        <w:ind w:firstLine="567" w:left="0"/>
        <w:jc w:val="both"/>
        <w:rPr>
          <w:rFonts w:ascii="Times New Roman" w:hAnsi="Times New Roman" w:cs="Times New Roman"/>
          <w:i/>
          <w:i/>
          <w:iCs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>базовые цены на работы по ремонту энергетического оборудования, адекватные условиям функционирования конкурентного рынка услуг по ремонту и техперевооружению, разработанные ОАО «ЦКБ Энергоремонт»;</w:t>
      </w:r>
    </w:p>
    <w:p>
      <w:pPr>
        <w:pStyle w:val="ConsPlusNormal1"/>
        <w:widowControl/>
        <w:numPr>
          <w:ilvl w:val="0"/>
          <w:numId w:val="16"/>
        </w:numPr>
        <w:shd w:val="clear" w:color="auto" w:fill="FFFF99"/>
        <w:tabs>
          <w:tab w:val="clear" w:pos="709"/>
          <w:tab w:val="left" w:pos="993" w:leader="none"/>
        </w:tabs>
        <w:spacing w:before="60" w:after="0"/>
        <w:ind w:firstLine="567" w:left="0"/>
        <w:jc w:val="both"/>
        <w:rPr>
          <w:rFonts w:ascii="Times New Roman" w:hAnsi="Times New Roman" w:cs="Times New Roman"/>
          <w:i/>
          <w:i/>
          <w:iCs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>другие сборники и справочники, принятые ЛНД (А) в качестве СНБ для Группы РусГидро.</w:t>
      </w:r>
    </w:p>
    <w:p>
      <w:pPr>
        <w:pStyle w:val="ConsPlusNormal1"/>
        <w:widowControl/>
        <w:shd w:val="clear" w:color="auto" w:fill="FFFF99"/>
        <w:tabs>
          <w:tab w:val="clear" w:pos="709"/>
          <w:tab w:val="left" w:pos="993" w:leader="none"/>
        </w:tabs>
        <w:spacing w:before="60" w:after="0"/>
        <w:ind w:firstLine="567"/>
        <w:jc w:val="both"/>
        <w:rPr>
          <w:rFonts w:ascii="Times New Roman" w:hAnsi="Times New Roman" w:cs="Times New Roman"/>
          <w:i/>
          <w:i/>
          <w:iCs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Применение других ведомственных баз, а также баз, не утвержденных органом исполнительной власти, уполномоченным в области сметного нормирования и ценообразования в сфере градостроительной деятельности, </w:t>
      </w:r>
      <w:r>
        <w:rPr>
          <w:rFonts w:cs="Times New Roman" w:ascii="Times New Roman" w:hAnsi="Times New Roman"/>
          <w:b/>
          <w:i/>
          <w:iCs/>
          <w:sz w:val="24"/>
          <w:szCs w:val="24"/>
          <w:u w:val="single"/>
        </w:rPr>
        <w:t>не допускается,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кроме случаев, прямо указанных в настоящих требованиях.</w:t>
      </w:r>
    </w:p>
    <w:p>
      <w:pPr>
        <w:pStyle w:val="ConsPlusNormal1"/>
        <w:shd w:val="clear" w:color="auto" w:fill="FFFF99"/>
        <w:tabs>
          <w:tab w:val="clear" w:pos="709"/>
          <w:tab w:val="left" w:pos="993" w:leader="none"/>
        </w:tabs>
        <w:spacing w:before="60" w:after="0"/>
        <w:ind w:firstLine="567"/>
        <w:jc w:val="both"/>
        <w:rPr>
          <w:rFonts w:ascii="Times New Roman" w:hAnsi="Times New Roman" w:cs="Times New Roman"/>
          <w:i/>
          <w:i/>
          <w:iCs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>В случае изменения СНБ (выход новой редакции, уточнение норм и расценок) на момент составления сметной документации к договору (дополнительному соглашению) возможны следующие варианты разработки сметной документации:</w:t>
      </w:r>
    </w:p>
    <w:p>
      <w:pPr>
        <w:pStyle w:val="ConsPlusNormal1"/>
        <w:numPr>
          <w:ilvl w:val="0"/>
          <w:numId w:val="18"/>
        </w:numPr>
        <w:shd w:val="clear" w:color="auto" w:fill="FFFF99"/>
        <w:tabs>
          <w:tab w:val="clear" w:pos="709"/>
          <w:tab w:val="left" w:pos="993" w:leader="none"/>
        </w:tabs>
        <w:spacing w:before="60" w:after="0"/>
        <w:ind w:firstLine="567" w:left="0"/>
        <w:jc w:val="both"/>
        <w:rPr>
          <w:rFonts w:ascii="Times New Roman" w:hAnsi="Times New Roman" w:cs="Times New Roman"/>
          <w:i/>
          <w:i/>
          <w:iCs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>Разработка сметной документации в предыдущей редакции СНБ в срок до 45 календарных дней после изменения СНБ;</w:t>
      </w:r>
    </w:p>
    <w:p>
      <w:pPr>
        <w:pStyle w:val="ConsPlusNormal1"/>
        <w:numPr>
          <w:ilvl w:val="0"/>
          <w:numId w:val="18"/>
        </w:numPr>
        <w:shd w:val="clear" w:color="auto" w:fill="FFFF99"/>
        <w:tabs>
          <w:tab w:val="clear" w:pos="709"/>
          <w:tab w:val="left" w:pos="993" w:leader="none"/>
        </w:tabs>
        <w:spacing w:before="60" w:after="0"/>
        <w:ind w:firstLine="567" w:left="0"/>
        <w:jc w:val="both"/>
        <w:rPr>
          <w:rFonts w:ascii="Times New Roman" w:hAnsi="Times New Roman" w:cs="Times New Roman"/>
          <w:i/>
          <w:i/>
          <w:iCs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Составление сметной документации на </w:t>
      </w:r>
      <w:r>
        <w:rPr>
          <w:rFonts w:cs="Times New Roman" w:ascii="Times New Roman" w:hAnsi="Times New Roman"/>
          <w:b/>
          <w:i/>
          <w:iCs/>
          <w:sz w:val="24"/>
          <w:szCs w:val="24"/>
          <w:u w:val="single"/>
        </w:rPr>
        <w:t>новые объемы работ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согласно актуальным изменениям СНБ, при этом ранее выполненная сметная документация пересчету не подлежит.</w:t>
      </w:r>
    </w:p>
    <w:p>
      <w:pPr>
        <w:pStyle w:val="ConsPlusNormal1"/>
        <w:widowControl/>
        <w:shd w:val="clear" w:color="auto" w:fill="FFFF99"/>
        <w:tabs>
          <w:tab w:val="clear" w:pos="709"/>
          <w:tab w:val="left" w:pos="993" w:leader="none"/>
        </w:tabs>
        <w:spacing w:before="60" w:after="0"/>
        <w:ind w:firstLine="567"/>
        <w:jc w:val="both"/>
        <w:rPr>
          <w:rFonts w:ascii="Times New Roman" w:hAnsi="Times New Roman" w:cs="Times New Roman"/>
          <w:i/>
          <w:i/>
          <w:iCs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>Вариант расчета сметной документации, выполненный подрядчиком, должен быть согласован с Заказчиком.</w:t>
      </w:r>
    </w:p>
    <w:p>
      <w:pPr>
        <w:pStyle w:val="ConsPlusNormal1"/>
        <w:widowControl/>
        <w:shd w:val="clear" w:color="auto" w:fill="FFFF99"/>
        <w:tabs>
          <w:tab w:val="clear" w:pos="709"/>
          <w:tab w:val="left" w:pos="993" w:leader="none"/>
        </w:tabs>
        <w:spacing w:before="60" w:after="0"/>
        <w:ind w:firstLine="567"/>
        <w:jc w:val="both"/>
        <w:rPr>
          <w:rFonts w:ascii="Times New Roman" w:hAnsi="Times New Roman" w:cs="Times New Roman"/>
          <w:i/>
          <w:i/>
          <w:iCs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При включении в смету лимитированных затрат для корректной загрузки и учета данных затрат в ИС «Максимо» необходимо включать их в ЛСР, в связи с тем, что ССРСС не загружается в ИС «Максимо». При оформлении ЛСР к договору, рекомендуется лимитированные затраты учитывать в ССРСС на основании Методики </w:t>
      </w:r>
    </w:p>
    <w:p>
      <w:pPr>
        <w:pStyle w:val="Normal"/>
        <w:shd w:val="clear" w:color="auto" w:fill="FFFF99"/>
        <w:tabs>
          <w:tab w:val="clear" w:pos="709"/>
          <w:tab w:val="left" w:pos="993" w:leader="none"/>
        </w:tabs>
        <w:spacing w:lineRule="auto" w:line="240" w:before="60" w:after="0"/>
        <w:ind w:firstLine="567"/>
        <w:jc w:val="both"/>
        <w:rPr>
          <w:rFonts w:ascii="Times New Roman" w:hAnsi="Times New Roman"/>
          <w:i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В ТТ </w:t>
      </w:r>
      <w:r>
        <w:rPr>
          <w:rFonts w:ascii="Times New Roman" w:hAnsi="Times New Roman"/>
          <w:b/>
          <w:i/>
          <w:iCs/>
          <w:sz w:val="24"/>
          <w:szCs w:val="24"/>
          <w:u w:val="single"/>
        </w:rPr>
        <w:t>обязательно</w:t>
      </w:r>
      <w:r>
        <w:rPr>
          <w:rFonts w:ascii="Times New Roman" w:hAnsi="Times New Roman"/>
          <w:i/>
          <w:iCs/>
          <w:sz w:val="24"/>
          <w:szCs w:val="24"/>
        </w:rPr>
        <w:t xml:space="preserve"> включить соответствующий пункт о необходимости учета при формировании сметной документации установленных данным приложением требований, например: «При определении стоимости работ (услуг) и оформлению сметной документации применять в обязательном порядке «Требования к оформлению и составлению сметной документации …» приложения №1 к Техническим требованиям».</w:t>
      </w:r>
    </w:p>
    <w:p>
      <w:pPr>
        <w:pStyle w:val="Normal"/>
        <w:shd w:val="clear" w:color="auto" w:fill="FFFF99"/>
        <w:tabs>
          <w:tab w:val="clear" w:pos="709"/>
          <w:tab w:val="left" w:pos="993" w:leader="none"/>
        </w:tabs>
        <w:spacing w:lineRule="auto" w:line="240" w:before="60" w:after="0"/>
        <w:ind w:firstLine="567"/>
        <w:jc w:val="both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  <w:r>
        <w:br w:type="page"/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Style w:val="Style15"/>
          <w:rFonts w:ascii="Times New Roman" w:hAnsi="Times New Roman"/>
          <w:iCs/>
        </w:rPr>
      </w:pPr>
      <w:r>
        <w:rPr>
          <w:rStyle w:val="Style15"/>
          <w:rFonts w:ascii="Times New Roman" w:hAnsi="Times New Roman"/>
          <w:iCs/>
        </w:rPr>
        <w:t>Приложение № 1</w:t>
      </w:r>
    </w:p>
    <w:p>
      <w:pPr>
        <w:pStyle w:val="Normal"/>
        <w:widowControl w:val="false"/>
        <w:pBdr>
          <w:bottom w:val="single" w:sz="4" w:space="1" w:color="000000"/>
        </w:pBdr>
        <w:tabs>
          <w:tab w:val="clear" w:pos="709"/>
          <w:tab w:val="left" w:pos="426" w:leader="none"/>
        </w:tabs>
        <w:spacing w:lineRule="auto" w:line="240" w:before="0" w:after="0"/>
        <w:jc w:val="right"/>
        <w:rPr>
          <w:rStyle w:val="Style15"/>
          <w:rFonts w:ascii="Times New Roman" w:hAnsi="Times New Roman"/>
          <w:iCs/>
        </w:rPr>
      </w:pPr>
      <w:r>
        <w:rPr>
          <w:rStyle w:val="Style15"/>
          <w:rFonts w:ascii="Times New Roman" w:hAnsi="Times New Roman"/>
          <w:iCs/>
        </w:rPr>
        <w:t xml:space="preserve">к Основным положениям </w:t>
        <w:br/>
        <w:t xml:space="preserve">по установлению требований к оформлению </w:t>
        <w:br/>
        <w:t>и составлению сметной документации</w:t>
      </w:r>
    </w:p>
    <w:p>
      <w:pPr>
        <w:pStyle w:val="ConsPlusNormal1"/>
        <w:widowControl/>
        <w:tabs>
          <w:tab w:val="clear" w:pos="709"/>
          <w:tab w:val="left" w:pos="1260" w:leader="none"/>
        </w:tabs>
        <w:ind w:hanging="1080" w:left="5811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ConsPlusNormal1"/>
        <w:widowControl/>
        <w:tabs>
          <w:tab w:val="clear" w:pos="709"/>
          <w:tab w:val="left" w:pos="284" w:leader="none"/>
        </w:tabs>
        <w:ind w:firstLine="709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ConsPlusNormal1"/>
        <w:widowControl/>
        <w:tabs>
          <w:tab w:val="clear" w:pos="709"/>
          <w:tab w:val="left" w:pos="284" w:leader="none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Требования</w:t>
      </w:r>
    </w:p>
    <w:p>
      <w:pPr>
        <w:pStyle w:val="ConsPlusNormal1"/>
        <w:widowControl/>
        <w:tabs>
          <w:tab w:val="clear" w:pos="709"/>
          <w:tab w:val="left" w:pos="284" w:leader="none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 xml:space="preserve">к оформлению и составлению сметной документации на </w:t>
      </w:r>
      <w:r>
        <w:rPr>
          <w:rFonts w:cs="Times New Roman" w:ascii="Times New Roman" w:hAnsi="Times New Roman"/>
          <w:b/>
          <w:bCs/>
          <w:sz w:val="24"/>
          <w:szCs w:val="24"/>
        </w:rPr>
        <w:t>строительство и реконструкцию объектов капитального строительства</w:t>
      </w: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Style w:val="FootnoteReference"/>
          <w:rFonts w:cs="Times New Roman" w:ascii="Times New Roman" w:hAnsi="Times New Roman"/>
          <w:b/>
          <w:sz w:val="24"/>
          <w:szCs w:val="24"/>
        </w:rPr>
        <w:footnoteReference w:id="3"/>
      </w:r>
    </w:p>
    <w:p>
      <w:pPr>
        <w:pStyle w:val="ConsPlusNormal1"/>
        <w:widowControl/>
        <w:tabs>
          <w:tab w:val="clear" w:pos="709"/>
          <w:tab w:val="left" w:pos="284" w:leader="none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851" w:leader="none"/>
        </w:tabs>
        <w:ind w:firstLine="567"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</w:rPr>
        <w:t xml:space="preserve">Настоящие требования разработаны для единого подхода к оформлению и составлению сметной документации </w:t>
      </w:r>
      <w:r>
        <w:rPr>
          <w:rFonts w:ascii="Times New Roman" w:hAnsi="Times New Roman"/>
          <w:sz w:val="24"/>
          <w:szCs w:val="24"/>
        </w:rPr>
        <w:t>на строительство и реконструкцию объектов капитального строительства</w:t>
      </w:r>
      <w:r>
        <w:rPr>
          <w:rFonts w:cs="Times New Roman" w:ascii="Times New Roman" w:hAnsi="Times New Roman"/>
          <w:sz w:val="24"/>
          <w:szCs w:val="24"/>
        </w:rPr>
        <w:t xml:space="preserve"> порядок определения стоимости которых регулируется Статьей 8.3 Градостроительного кодекса РФ.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851" w:leader="none"/>
        </w:tabs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Стоимость работ определяется на основании Сметы договора, содержащей определенные в соответствии с расчетом плановой цены по частной категории «Новое строительство и реконструкция объектов капитального строительства»</w:t>
      </w:r>
      <w:r>
        <w:rPr>
          <w:rStyle w:val="FootnoteReference"/>
          <w:rFonts w:cs="Times New Roman" w:ascii="Times New Roman" w:hAnsi="Times New Roman"/>
          <w:sz w:val="24"/>
          <w:szCs w:val="24"/>
        </w:rPr>
        <w:footnoteReference w:id="4"/>
      </w:r>
      <w:r>
        <w:rPr>
          <w:rFonts w:cs="Times New Roman" w:ascii="Times New Roman" w:hAnsi="Times New Roman"/>
          <w:sz w:val="24"/>
          <w:szCs w:val="24"/>
        </w:rPr>
        <w:t xml:space="preserve"> наименования конструктивных решений (элементов), комплексов (видов) работ, оборудования, не входящего в состав конструктивного элемента, их цены на принятую единицу измерения, и общую стоимость, определенную с учетом подлежащих выполнению объемов работ (образец сметы договора приведен в Приложении №1 и №2 к настоящим требованиям).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851" w:leader="none"/>
        </w:tabs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Смета договора составляется на основании:</w:t>
      </w:r>
    </w:p>
    <w:p>
      <w:pPr>
        <w:pStyle w:val="ConsPlusNormal1"/>
        <w:widowControl/>
        <w:numPr>
          <w:ilvl w:val="1"/>
          <w:numId w:val="6"/>
        </w:numPr>
        <w:tabs>
          <w:tab w:val="clear" w:pos="709"/>
          <w:tab w:val="left" w:pos="851" w:leader="none"/>
          <w:tab w:val="left" w:pos="1134" w:leader="none"/>
        </w:tabs>
        <w:ind w:firstLine="567" w:left="0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r>
        <w:rPr>
          <w:rFonts w:cs="Times New Roman" w:ascii="Times New Roman" w:hAnsi="Times New Roman"/>
          <w:sz w:val="24"/>
          <w:szCs w:val="24"/>
          <w:highlight w:val="lightGray"/>
        </w:rPr>
        <w:t>сметной документации, входящей в состав проектной документации, получившей положительное заключение Главгосэкспертизы, прошедшей проверку достоверности сметной стоимости объекта</w:t>
      </w:r>
      <w:r>
        <w:rPr>
          <w:rStyle w:val="FootnoteReference"/>
          <w:rFonts w:cs="Times New Roman" w:ascii="Times New Roman" w:hAnsi="Times New Roman"/>
          <w:sz w:val="24"/>
          <w:szCs w:val="24"/>
          <w:highlight w:val="lightGray"/>
        </w:rPr>
        <w:footnoteReference w:id="5"/>
      </w:r>
      <w:r>
        <w:rPr>
          <w:rFonts w:cs="Times New Roman" w:ascii="Times New Roman" w:hAnsi="Times New Roman"/>
          <w:sz w:val="24"/>
          <w:szCs w:val="24"/>
          <w:highlight w:val="lightGray"/>
        </w:rPr>
        <w:t>.</w:t>
      </w:r>
    </w:p>
    <w:p>
      <w:pPr>
        <w:pStyle w:val="NormalWeb"/>
        <w:numPr>
          <w:ilvl w:val="1"/>
          <w:numId w:val="6"/>
        </w:numPr>
        <w:tabs>
          <w:tab w:val="clear" w:pos="709"/>
          <w:tab w:val="left" w:pos="851" w:leader="none"/>
          <w:tab w:val="left" w:pos="1134" w:leader="none"/>
        </w:tabs>
        <w:spacing w:before="0" w:after="30"/>
        <w:ind w:firstLine="567" w:left="0"/>
        <w:jc w:val="both"/>
        <w:rPr>
          <w:rFonts w:ascii="Times New Roman" w:hAnsi="Times New Roman" w:eastAsia="Times New Roman" w:cs="Times New Roman"/>
          <w:color w:val="auto"/>
          <w:spacing w:val="0"/>
          <w:highlight w:val="lightGray"/>
        </w:rPr>
      </w:pPr>
      <w:r>
        <w:rPr>
          <w:rFonts w:ascii="Times New Roman" w:hAnsi="Times New Roman"/>
          <w:highlight w:val="lightGray"/>
        </w:rPr>
        <w:t xml:space="preserve">сметной документации, входящей в состав рабочей документацией. </w:t>
      </w:r>
    </w:p>
    <w:p>
      <w:pPr>
        <w:pStyle w:val="NormalWeb"/>
        <w:numPr>
          <w:ilvl w:val="0"/>
          <w:numId w:val="6"/>
        </w:numPr>
        <w:tabs>
          <w:tab w:val="clear" w:pos="709"/>
          <w:tab w:val="left" w:pos="993" w:leader="none"/>
          <w:tab w:val="left" w:pos="1134" w:leader="none"/>
        </w:tabs>
        <w:spacing w:before="0" w:after="0"/>
        <w:ind w:firstLine="567" w:left="0"/>
        <w:jc w:val="both"/>
        <w:rPr>
          <w:rFonts w:ascii="Times New Roman" w:hAnsi="Times New Roman" w:eastAsia="Times New Roman" w:cs="Times New Roman"/>
          <w:color w:val="auto"/>
          <w:spacing w:val="0"/>
        </w:rPr>
      </w:pPr>
      <w:r>
        <w:rPr>
          <w:rFonts w:eastAsia="Times New Roman" w:cs="Times New Roman" w:ascii="Times New Roman" w:hAnsi="Times New Roman"/>
          <w:color w:val="auto"/>
          <w:spacing w:val="0"/>
        </w:rPr>
        <w:t xml:space="preserve">В случае внесения изменений в проектную/рабочую документацию, влекущих изменение объемов работ, предусмотренных Сметой договора, общая стоимость соответствующего конструктивного решения (элемента), комплекса (вида) работ, оборудования определяется исходя из установленной в смете договора цены единицы измерения данного конструктивного решения (элемента), комплекса (вида) работ, оборудования с учетом изменения объемов работ. </w:t>
      </w:r>
    </w:p>
    <w:p>
      <w:pPr>
        <w:pStyle w:val="NormalWeb"/>
        <w:numPr>
          <w:ilvl w:val="0"/>
          <w:numId w:val="6"/>
        </w:numPr>
        <w:tabs>
          <w:tab w:val="clear" w:pos="709"/>
          <w:tab w:val="left" w:pos="993" w:leader="none"/>
          <w:tab w:val="left" w:pos="1134" w:leader="none"/>
        </w:tabs>
        <w:spacing w:before="0" w:after="30"/>
        <w:ind w:firstLine="567" w:left="0"/>
        <w:jc w:val="both"/>
        <w:rPr>
          <w:rFonts w:ascii="Times New Roman" w:hAnsi="Times New Roman" w:eastAsia="Times New Roman" w:cs="Times New Roman"/>
          <w:color w:val="auto"/>
          <w:spacing w:val="0"/>
        </w:rPr>
      </w:pPr>
      <w:r>
        <w:rPr>
          <w:rFonts w:eastAsia="Times New Roman" w:cs="Times New Roman" w:ascii="Times New Roman" w:hAnsi="Times New Roman"/>
          <w:color w:val="auto"/>
          <w:spacing w:val="0"/>
        </w:rPr>
        <w:t>В случае внесения изменений в проектную / рабочую документацию в связи с включением в нее ранее непредусмотренных такой проектной документацией видов работ и (или) затрат, цена таких работ, затрат определяется с использованием соответствующих сметных нормативов и сметных цен, а также методических и других документов в сфере ценообразования и сметного нормирования с учетом затрат, включенных в состав цены конструктивных решений (элементов), комплексов (видов) работ (Цдоп.раб), по формуле:</w:t>
      </w:r>
    </w:p>
    <w:p>
      <w:pPr>
        <w:pStyle w:val="NormalWeb"/>
        <w:tabs>
          <w:tab w:val="clear" w:pos="709"/>
          <w:tab w:val="left" w:pos="993" w:leader="none"/>
          <w:tab w:val="left" w:pos="1134" w:leader="none"/>
        </w:tabs>
        <w:spacing w:before="0" w:after="30"/>
        <w:ind w:firstLine="567"/>
        <w:jc w:val="center"/>
        <w:rPr>
          <w:rFonts w:ascii="Times New Roman" w:hAnsi="Times New Roman" w:eastAsia="Times New Roman" w:cs="Times New Roman"/>
          <w:color w:val="auto"/>
          <w:spacing w:val="0"/>
        </w:rPr>
      </w:pPr>
      <w:r>
        <w:rPr>
          <w:rFonts w:eastAsia="Times New Roman" w:cs="Times New Roman" w:ascii="Times New Roman" w:hAnsi="Times New Roman"/>
          <w:color w:val="auto"/>
          <w:spacing w:val="0"/>
        </w:rPr>
        <w:t>Цдоп.раб. = Цподр.раб. х Кинф. х Ктенд.,</w:t>
      </w:r>
    </w:p>
    <w:p>
      <w:pPr>
        <w:pStyle w:val="NormalWeb"/>
        <w:tabs>
          <w:tab w:val="clear" w:pos="709"/>
          <w:tab w:val="left" w:pos="993" w:leader="none"/>
          <w:tab w:val="left" w:pos="1134" w:leader="none"/>
        </w:tabs>
        <w:spacing w:before="0" w:after="30"/>
        <w:ind w:firstLine="567"/>
        <w:jc w:val="both"/>
        <w:rPr>
          <w:rFonts w:ascii="Times New Roman" w:hAnsi="Times New Roman" w:eastAsia="Times New Roman" w:cs="Times New Roman"/>
          <w:color w:val="auto"/>
          <w:spacing w:val="0"/>
        </w:rPr>
      </w:pPr>
      <w:r>
        <w:rPr>
          <w:rFonts w:eastAsia="Times New Roman" w:cs="Times New Roman" w:ascii="Times New Roman" w:hAnsi="Times New Roman"/>
          <w:color w:val="auto"/>
          <w:spacing w:val="0"/>
        </w:rPr>
        <w:t xml:space="preserve">где: </w:t>
      </w:r>
    </w:p>
    <w:p>
      <w:pPr>
        <w:pStyle w:val="NormalWeb"/>
        <w:tabs>
          <w:tab w:val="clear" w:pos="709"/>
          <w:tab w:val="left" w:pos="993" w:leader="none"/>
          <w:tab w:val="left" w:pos="1134" w:leader="none"/>
        </w:tabs>
        <w:spacing w:before="0" w:after="30"/>
        <w:ind w:firstLine="567"/>
        <w:jc w:val="both"/>
        <w:rPr>
          <w:rFonts w:ascii="Times New Roman" w:hAnsi="Times New Roman" w:eastAsia="Times New Roman" w:cs="Times New Roman"/>
          <w:color w:val="auto"/>
          <w:spacing w:val="0"/>
        </w:rPr>
      </w:pPr>
      <w:r>
        <w:rPr>
          <w:rFonts w:eastAsia="Times New Roman" w:cs="Times New Roman" w:ascii="Times New Roman" w:hAnsi="Times New Roman"/>
          <w:color w:val="auto"/>
          <w:spacing w:val="0"/>
        </w:rPr>
        <w:t>Цподр.раб. - цена ранее не предусмотренных проектной документацией видов работ и (или) затрат в уровне цен на дату утверждения проектной документации;</w:t>
      </w:r>
    </w:p>
    <w:p>
      <w:pPr>
        <w:pStyle w:val="NormalWeb"/>
        <w:tabs>
          <w:tab w:val="clear" w:pos="709"/>
          <w:tab w:val="left" w:pos="993" w:leader="none"/>
          <w:tab w:val="left" w:pos="1134" w:leader="none"/>
        </w:tabs>
        <w:spacing w:before="0" w:after="30"/>
        <w:ind w:firstLine="567"/>
        <w:jc w:val="both"/>
        <w:rPr>
          <w:rFonts w:ascii="Times New Roman" w:hAnsi="Times New Roman" w:eastAsia="Times New Roman" w:cs="Times New Roman"/>
          <w:color w:val="auto"/>
          <w:spacing w:val="0"/>
        </w:rPr>
      </w:pPr>
      <w:r>
        <w:rPr>
          <w:rFonts w:eastAsia="Times New Roman" w:cs="Times New Roman" w:ascii="Times New Roman" w:hAnsi="Times New Roman"/>
          <w:color w:val="auto"/>
          <w:spacing w:val="0"/>
        </w:rPr>
        <w:t>Кинф. - индексы-дефляторы, указанные в п. 4 настоящего приложения на соответствующий период выполнения работ;</w:t>
      </w:r>
    </w:p>
    <w:p>
      <w:pPr>
        <w:pStyle w:val="ConsPlusNormal1"/>
        <w:widowControl/>
        <w:tabs>
          <w:tab w:val="clear" w:pos="709"/>
          <w:tab w:val="left" w:pos="993" w:leader="none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Ктенд. - коэффициент снижения начальной (максимальной) цены договора, определенный по результатам закупочных процедур (при наличии в условиях договора).</w:t>
      </w:r>
    </w:p>
    <w:p>
      <w:pPr>
        <w:pStyle w:val="ConsPlusNormal1"/>
        <w:tabs>
          <w:tab w:val="clear" w:pos="709"/>
          <w:tab w:val="left" w:pos="993" w:leader="none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этом цена таких работ и (или) затрат при формировании Сметы договора определяется с учетом стоимостных показателей строительных ресурсов, необходимых для выполнения работ, и(или) работы (услуги), полученной по результатам конъюнктурного анализа, информации о среднемесячном размере оплаты труда рабочего первого разряда, занятого в строительной отрасли, установленного в субъекте Российской Федерации, в котором осуществляется выполнение работ, предусмотренных договором.</w:t>
      </w:r>
    </w:p>
    <w:p>
      <w:pPr>
        <w:pStyle w:val="NormalWeb"/>
        <w:numPr>
          <w:ilvl w:val="0"/>
          <w:numId w:val="6"/>
        </w:numPr>
        <w:tabs>
          <w:tab w:val="left" w:pos="709" w:leader="none"/>
          <w:tab w:val="left" w:pos="993" w:leader="none"/>
          <w:tab w:val="left" w:pos="1134" w:leader="none"/>
        </w:tabs>
        <w:spacing w:beforeAutospacing="1" w:after="0"/>
        <w:ind w:firstLine="567" w:left="0"/>
        <w:jc w:val="both"/>
        <w:rPr>
          <w:rFonts w:ascii="Times New Roman" w:hAnsi="Times New Roman" w:eastAsia="Times New Roman" w:cs="Times New Roman"/>
          <w:color w:val="auto"/>
          <w:spacing w:val="0"/>
        </w:rPr>
      </w:pPr>
      <w:r>
        <w:rPr>
          <w:rFonts w:eastAsia="Times New Roman" w:cs="Times New Roman" w:ascii="Times New Roman" w:hAnsi="Times New Roman"/>
          <w:color w:val="auto"/>
          <w:spacing w:val="0"/>
        </w:rPr>
        <w:t>В случае изменения объемов, видов работ и (или) затрат, предусмотренных ценой единицы конструктивного решения (элемента), комплекса (вида) работ Сметы договора, в соответствии с утвержденной заказчиком рабочей документацией, производится корректировка цены конструктивного решения (элемента), комплекса (вида) работ, на принятую единицу измерения, и общей стоимости, определенной с учетом подлежащих выполнению объемов работ.</w:t>
      </w:r>
    </w:p>
    <w:p>
      <w:pPr>
        <w:pStyle w:val="NormalWeb"/>
        <w:numPr>
          <w:ilvl w:val="0"/>
          <w:numId w:val="6"/>
        </w:numPr>
        <w:tabs>
          <w:tab w:val="clear" w:pos="709"/>
          <w:tab w:val="left" w:pos="851" w:leader="none"/>
        </w:tabs>
        <w:spacing w:before="0" w:after="30"/>
        <w:ind w:firstLine="567" w:left="0"/>
        <w:jc w:val="both"/>
        <w:rPr>
          <w:rFonts w:ascii="Times New Roman" w:hAnsi="Times New Roman" w:eastAsia="Times New Roman" w:cs="Times New Roman"/>
          <w:color w:val="auto"/>
          <w:spacing w:val="0"/>
        </w:rPr>
      </w:pPr>
      <w:r>
        <w:rPr>
          <w:rFonts w:eastAsia="Times New Roman" w:cs="Times New Roman" w:ascii="Times New Roman" w:hAnsi="Times New Roman"/>
          <w:color w:val="auto"/>
          <w:spacing w:val="0"/>
        </w:rPr>
        <w:t xml:space="preserve">Корректировка цены конструктивного решения (элемента), комплекса (вида) работ производится путем корректировки сметной документации, составленной с использованием соответствующих сметных нормативов и сметных цен, относящейся к соответствующим конструктивным решениям (элементам), комплексам (видам) работ (в соответствии с Ведомостью – образец Приложение №3 к настоящим Требованиям). </w:t>
      </w:r>
    </w:p>
    <w:p>
      <w:pPr>
        <w:pStyle w:val="NormalWeb"/>
        <w:numPr>
          <w:ilvl w:val="0"/>
          <w:numId w:val="6"/>
        </w:numPr>
        <w:tabs>
          <w:tab w:val="clear" w:pos="709"/>
          <w:tab w:val="left" w:pos="851" w:leader="none"/>
        </w:tabs>
        <w:spacing w:before="0" w:after="30"/>
        <w:ind w:firstLine="567" w:left="0"/>
        <w:jc w:val="both"/>
        <w:rPr>
          <w:rFonts w:ascii="Times New Roman" w:hAnsi="Times New Roman" w:eastAsia="Times New Roman" w:cs="Times New Roman"/>
          <w:color w:val="auto"/>
          <w:spacing w:val="0"/>
        </w:rPr>
      </w:pPr>
      <w:r>
        <w:rPr>
          <w:rFonts w:eastAsia="Times New Roman" w:cs="Times New Roman" w:ascii="Times New Roman" w:hAnsi="Times New Roman"/>
          <w:color w:val="auto"/>
          <w:spacing w:val="0"/>
        </w:rPr>
        <w:t>В случае, если заказчиком принято решение о сокращении сроков исполнения договора с перераспределением объемов финансирования с последующих периодов на более ранние периоды без изменения объемов и содержания работ, то смета договора не изменяется.</w:t>
      </w:r>
    </w:p>
    <w:p>
      <w:pPr>
        <w:pStyle w:val="NormalWeb"/>
        <w:numPr>
          <w:ilvl w:val="0"/>
          <w:numId w:val="6"/>
        </w:numPr>
        <w:tabs>
          <w:tab w:val="clear" w:pos="709"/>
          <w:tab w:val="left" w:pos="851" w:leader="none"/>
        </w:tabs>
        <w:spacing w:before="0" w:after="30"/>
        <w:ind w:firstLine="567" w:left="0"/>
        <w:jc w:val="both"/>
        <w:rPr>
          <w:rFonts w:ascii="Times New Roman" w:hAnsi="Times New Roman" w:eastAsia="Times New Roman" w:cs="Times New Roman"/>
          <w:color w:val="auto"/>
          <w:spacing w:val="0"/>
        </w:rPr>
      </w:pPr>
      <w:r>
        <w:rPr>
          <w:rFonts w:eastAsia="Times New Roman" w:cs="Times New Roman" w:ascii="Times New Roman" w:hAnsi="Times New Roman"/>
          <w:color w:val="auto"/>
          <w:spacing w:val="0"/>
        </w:rPr>
        <w:t>При составлении Сметы Договора на основании сметной документации, входящей в состав рабочей документации, необходимо дополнить ТТ «Требованиями к оформлению и составлению сметной документации в составе рабочей документации».</w:t>
      </w:r>
    </w:p>
    <w:p>
      <w:pPr>
        <w:pStyle w:val="NormalWeb"/>
        <w:tabs>
          <w:tab w:val="clear" w:pos="709"/>
          <w:tab w:val="left" w:pos="993" w:leader="none"/>
        </w:tabs>
        <w:spacing w:beforeAutospacing="1" w:afterAutospacing="1"/>
        <w:ind w:left="567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1"/>
        <w:widowControl/>
        <w:tabs>
          <w:tab w:val="clear" w:pos="709"/>
          <w:tab w:val="left" w:pos="284" w:leader="none"/>
          <w:tab w:val="left" w:pos="993" w:leader="none"/>
          <w:tab w:val="left" w:pos="1134" w:leader="none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Требования к составлению сметной документации в составе рабочей документации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1134" w:leader="none"/>
        </w:tabs>
        <w:ind w:firstLine="567" w:left="0"/>
        <w:jc w:val="both"/>
        <w:rPr>
          <w:rFonts w:ascii="Times New Roman" w:hAnsi="Times New Roman" w:cs="Times New Roman"/>
          <w:color w:val="000000"/>
          <w:sz w:val="24"/>
          <w:szCs w:val="24"/>
          <w:highlight w:val="green"/>
        </w:rPr>
      </w:pPr>
      <w:r>
        <w:rPr>
          <w:rFonts w:cs="Times New Roman" w:ascii="Times New Roman" w:hAnsi="Times New Roman"/>
          <w:color w:val="000000"/>
          <w:sz w:val="24"/>
          <w:szCs w:val="24"/>
          <w:highlight w:val="green"/>
        </w:rPr>
        <w:t>Основные условия ценообразования изложены в приложении №… к настоящим требованиям и являются неотъемлемой частью требований к составлению сметной документации.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1134" w:leader="none"/>
        </w:tabs>
        <w:ind w:firstLine="567"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Использование нормативов ценообразования, не зарегистрированных и не вошедших в ФРСН,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не допускается</w:t>
      </w:r>
      <w:r>
        <w:rPr>
          <w:rFonts w:cs="Times New Roman" w:ascii="Times New Roman" w:hAnsi="Times New Roman"/>
          <w:sz w:val="24"/>
          <w:szCs w:val="24"/>
        </w:rPr>
        <w:t>, кроме случаев, прямо указанных в настоящих требованиях.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1134" w:leader="none"/>
        </w:tabs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составлении смет руководствоваться «Методикой определения сметной стоимости строительства»,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– Методика определения сметной стоимости строительства) с учетом изменений и дополнений, а так же Методикой определения сметной стоимости строительства с применением федеральных единичных расценок и их отдельных составляющих, утверждённой Приказом Министерства строительства и ЖКХ РФ от 08.08.2022г № 648/пр. с учетом изменений и дополнений.</w:t>
      </w:r>
    </w:p>
    <w:p>
      <w:pPr>
        <w:pStyle w:val="Xmsolistparagraph"/>
        <w:numPr>
          <w:ilvl w:val="0"/>
          <w:numId w:val="6"/>
        </w:numPr>
        <w:shd w:val="clear" w:color="auto" w:fill="FFFFFF"/>
        <w:tabs>
          <w:tab w:val="clear" w:pos="709"/>
          <w:tab w:val="left" w:pos="851" w:leader="none"/>
        </w:tabs>
        <w:spacing w:beforeAutospacing="0" w:before="0" w:afterAutospacing="0" w:after="0"/>
        <w:ind w:firstLine="567" w:left="0"/>
        <w:jc w:val="both"/>
        <w:rPr>
          <w:color w:val="1F497D"/>
          <w:highlight w:val="green"/>
        </w:rPr>
      </w:pPr>
      <w:bookmarkStart w:id="4" w:name="_Hlk86254526"/>
      <w:r>
        <w:rPr>
          <w:color w:val="000000"/>
          <w:highlight w:val="green"/>
        </w:rPr>
        <w:t>Сметная цена материальных ресурсов и (или) оборудования (далее –МТР), закупаемых на территории региона субъекта Российской Федерации,</w:t>
      </w:r>
      <w:r>
        <w:rPr>
          <w:color w:val="1F497D"/>
          <w:highlight w:val="green"/>
        </w:rPr>
        <w:t xml:space="preserve"> </w:t>
      </w:r>
      <w:r>
        <w:rPr>
          <w:color w:val="000000"/>
          <w:highlight w:val="green"/>
        </w:rPr>
        <w:t xml:space="preserve">определяется в базисном уровне цен по состоянию на 01.01.2022 с использованием ФСБЦ-2022, индексов по группам однородных строительных ресурсов, размещенных во ФГИС ЦС по субъекту Российской Федерации, </w:t>
      </w:r>
      <w:r>
        <w:rPr>
          <w:color w:val="000000"/>
          <w:highlight w:val="yellow"/>
        </w:rPr>
        <w:t xml:space="preserve">в </w:t>
      </w:r>
      <w:r>
        <w:rPr>
          <w:color w:val="000000"/>
          <w:highlight w:val="green"/>
        </w:rPr>
        <w:t>котором расположен объект строительства.</w:t>
      </w:r>
    </w:p>
    <w:p>
      <w:pPr>
        <w:pStyle w:val="ConsPlusNormal1"/>
        <w:widowControl/>
        <w:tabs>
          <w:tab w:val="clear" w:pos="709"/>
          <w:tab w:val="left" w:pos="284" w:leader="none"/>
        </w:tabs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При </w:t>
      </w:r>
      <w:r>
        <w:rPr>
          <w:rFonts w:cs="Times New Roman" w:ascii="Times New Roman" w:hAnsi="Times New Roman"/>
          <w:i/>
          <w:sz w:val="24"/>
          <w:szCs w:val="24"/>
        </w:rPr>
        <w:t xml:space="preserve">отсутствии </w:t>
      </w:r>
      <w:r>
        <w:rPr>
          <w:rFonts w:cs="Times New Roman" w:ascii="Times New Roman" w:hAnsi="Times New Roman"/>
          <w:sz w:val="24"/>
          <w:szCs w:val="24"/>
        </w:rPr>
        <w:t xml:space="preserve">информации о сметных ценах в ФГИС ЦС и ФССЦ по материальным ресурсам и оборудованию, их сметная цена формируется </w:t>
      </w:r>
      <w:bookmarkStart w:id="5" w:name="_Hlk86254576"/>
      <w:r>
        <w:rPr>
          <w:rFonts w:cs="Times New Roman" w:ascii="Times New Roman" w:hAnsi="Times New Roman"/>
          <w:sz w:val="24"/>
          <w:szCs w:val="24"/>
        </w:rPr>
        <w:t xml:space="preserve">методами, предусмотренными Методикой ПЦ (методы без использования сметных нормативов) </w:t>
      </w:r>
      <w:bookmarkEnd w:id="5"/>
      <w:r>
        <w:rPr>
          <w:rFonts w:cs="Times New Roman" w:ascii="Times New Roman" w:hAnsi="Times New Roman"/>
          <w:b/>
          <w:color w:val="FF0000"/>
          <w:sz w:val="24"/>
          <w:szCs w:val="24"/>
        </w:rPr>
        <w:t>(включить соответствующие требования Методики ПЦ отдельным приложением).</w:t>
      </w:r>
      <w:bookmarkEnd w:id="4"/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284" w:leader="none"/>
        </w:tabs>
        <w:spacing w:before="40" w:after="40"/>
        <w:ind w:firstLine="567"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firstLine="567"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Затраты на эксплуатацию строительной техники, не учтенной нормами и расценками, включенными в ФРСН, определяются </w:t>
      </w:r>
      <w:r>
        <w:rPr>
          <w:rFonts w:cs="Times New Roman" w:ascii="Times New Roman" w:hAnsi="Times New Roman"/>
          <w:sz w:val="24"/>
          <w:szCs w:val="24"/>
        </w:rPr>
        <w:t xml:space="preserve">методами, предусмотренными Методикой ПЦ (методы без использования сметных нормативов) </w:t>
      </w:r>
      <w:r>
        <w:rPr>
          <w:rFonts w:cs="Times New Roman" w:ascii="Times New Roman" w:hAnsi="Times New Roman"/>
          <w:color w:val="000000"/>
          <w:sz w:val="24"/>
          <w:szCs w:val="24"/>
        </w:rPr>
        <w:t>и учитываются в Главе 9 Сводного сметного расчета стоимости строительства (далее - ССРСС).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567" w:leader="none"/>
        </w:tabs>
        <w:spacing w:before="40" w:after="40"/>
        <w:ind w:firstLine="567" w:left="0"/>
        <w:jc w:val="both"/>
        <w:rPr>
          <w:rFonts w:ascii="Times New Roman" w:hAnsi="Times New Roman" w:cs="Times New Roman"/>
          <w:color w:val="000000"/>
          <w:sz w:val="24"/>
          <w:szCs w:val="24"/>
          <w:highlight w:val="green"/>
        </w:rPr>
      </w:pPr>
      <w:r>
        <w:rPr>
          <w:rFonts w:cs="Times New Roman" w:ascii="Times New Roman" w:hAnsi="Times New Roman"/>
          <w:color w:val="000000"/>
          <w:sz w:val="24"/>
          <w:szCs w:val="24"/>
          <w:highlight w:val="green"/>
        </w:rPr>
        <w:t>При составлении сметной документации корректировка наименования работ, принятой расценки недопустима. При необходимости, вся дополнительная информация указывается в скобках, после указания наименования расценки (</w:t>
      </w:r>
      <w:r>
        <w:rPr>
          <w:rFonts w:cs="Times New Roman" w:ascii="Times New Roman" w:hAnsi="Times New Roman"/>
          <w:i/>
          <w:color w:val="000000"/>
          <w:sz w:val="24"/>
          <w:szCs w:val="24"/>
          <w:highlight w:val="green"/>
        </w:rPr>
        <w:t>например, Разборка, очистка, замена уплотнения, сборка крышки ванны подшипника: диаметр шейки вала свыше 0.95 до 1,5 м (диаметр шейки вала – 1.3 м), л</w:t>
      </w:r>
      <w:r>
        <w:rPr>
          <w:rFonts w:cs="Times New Roman" w:ascii="Times New Roman" w:hAnsi="Times New Roman"/>
          <w:color w:val="000000"/>
          <w:sz w:val="24"/>
          <w:szCs w:val="24"/>
          <w:highlight w:val="green"/>
        </w:rPr>
        <w:t xml:space="preserve">ибо указывается в примечании, через дополнительную информацию </w:t>
      </w:r>
      <w:r>
        <w:rPr>
          <w:rFonts w:cs="Times New Roman" w:ascii="Times New Roman" w:hAnsi="Times New Roman"/>
          <w:color w:val="000000"/>
          <w:sz w:val="24"/>
          <w:szCs w:val="24"/>
          <w:highlight w:val="green"/>
          <w:lang w:val="en-US"/>
        </w:rPr>
        <w:t>(в ПК Гранд-Смета).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firstLine="567"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При формировании сметной стоимости с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firstLine="567"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указываются попозиционно.</w:t>
      </w:r>
      <w:r>
        <w:rPr>
          <w:rFonts w:cs="Times New Roman" w:ascii="Times New Roman" w:hAnsi="Times New Roman"/>
          <w:color w:val="FF000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</w:t>
      </w:r>
      <w:r>
        <w:rPr>
          <w:rFonts w:cs="Times New Roman" w:ascii="Times New Roman" w:hAnsi="Times New Roman"/>
          <w:color w:val="000000"/>
          <w:sz w:val="24"/>
          <w:szCs w:val="24"/>
        </w:rPr>
        <w:t>применении коэффициенты перемножаются, результат округляется до семи знаков после запятой.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firstLine="567"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 внесении изменений в сметную документацию разрабатывается сводный сметный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дополнительных). Локальные сметные расчеты (сметы) разрабатываются отдельно на исключаемые и дополнительные объемы работ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ЛСР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 ЛСР (ЛС) указывать величину сметной прибыли по видам строительных, ремонтно-строительных, монтажных и пусконаладочных работ, на основании актуальных нормативных документов, внесенных в ФРСН. 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firstLine="567" w:left="0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>
        <w:rPr>
          <w:rFonts w:cs="Times New Roman" w:ascii="Times New Roman" w:hAnsi="Times New Roman"/>
          <w:sz w:val="24"/>
          <w:szCs w:val="24"/>
          <w:highlight w:val="green"/>
        </w:rPr>
        <w:t>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 При этом, понижающий коэффициент, указывается в размере не более 7-ми знаков после запятой.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Сметная стоимость пусконаладочных работ определяется на основании утвержденных 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>
        <w:rPr>
          <w:rFonts w:cs="Times New Roman" w:ascii="Times New Roman" w:hAnsi="Times New Roman"/>
          <w:sz w:val="24"/>
          <w:szCs w:val="24"/>
          <w:lang w:val="en-US"/>
        </w:rPr>
        <w:t>VII</w:t>
      </w:r>
      <w:r>
        <w:rPr>
          <w:rFonts w:cs="Times New Roman" w:ascii="Times New Roman" w:hAnsi="Times New Roman"/>
          <w:sz w:val="24"/>
          <w:szCs w:val="24"/>
        </w:rPr>
        <w:t xml:space="preserve">. Методики определения сметной стоимости строительства: </w:t>
      </w:r>
    </w:p>
    <w:p>
      <w:pPr>
        <w:pStyle w:val="ConsPlusNormal1"/>
        <w:numPr>
          <w:ilvl w:val="0"/>
          <w:numId w:val="25"/>
        </w:numPr>
        <w:tabs>
          <w:tab w:val="clear" w:pos="709"/>
          <w:tab w:val="left" w:pos="567" w:leader="none"/>
          <w:tab w:val="left" w:pos="851" w:leader="none"/>
          <w:tab w:val="left" w:pos="993" w:leader="none"/>
          <w:tab w:val="left" w:pos="1134" w:leader="none"/>
        </w:tabs>
        <w:spacing w:before="40" w:after="40"/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>
      <w:pPr>
        <w:pStyle w:val="ConsPlusNormal1"/>
        <w:numPr>
          <w:ilvl w:val="0"/>
          <w:numId w:val="25"/>
        </w:numPr>
        <w:tabs>
          <w:tab w:val="clear" w:pos="709"/>
          <w:tab w:val="left" w:pos="567" w:leader="none"/>
          <w:tab w:val="left" w:pos="851" w:leader="none"/>
          <w:tab w:val="left" w:pos="993" w:leader="none"/>
          <w:tab w:val="left" w:pos="1134" w:leader="none"/>
        </w:tabs>
        <w:spacing w:before="40" w:after="40"/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Пусконаладочные работы «под нагрузкой» для объектов производственного и непроизводственного назначения, связанных с получением дохода от реализации товаров (услуг) не относятся на сметную стоимость строительства и в сметной документации не учитываются. </w:t>
      </w:r>
    </w:p>
    <w:p>
      <w:pPr>
        <w:pStyle w:val="ConsPlusNormal1"/>
        <w:tabs>
          <w:tab w:val="clear" w:pos="709"/>
          <w:tab w:val="left" w:pos="567" w:leader="none"/>
          <w:tab w:val="left" w:pos="993" w:leader="none"/>
          <w:tab w:val="left" w:pos="1134" w:leader="none"/>
        </w:tabs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заказчиком. Данные работы оформляются отдельными локальными сметами в соответствии </w:t>
      </w:r>
      <w:r>
        <w:rPr>
          <w:rFonts w:cs="Times New Roman" w:ascii="Times New Roman" w:hAnsi="Times New Roman"/>
          <w:color w:val="000000"/>
          <w:sz w:val="24"/>
          <w:szCs w:val="24"/>
        </w:rPr>
        <w:t>с Приложением №1.5 к Требованиям к оформлению и составлению сметной документации на выполнение строительно-монтажных работ при новом строительстве, по программе ремонтов, реконструкции и техническому перевооружению и включаются в ССРСС.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firstLine="567" w:left="0"/>
        <w:jc w:val="both"/>
        <w:rPr>
          <w:rFonts w:ascii="Times New Roman" w:hAnsi="Times New Roman"/>
          <w:sz w:val="24"/>
          <w:szCs w:val="24"/>
          <w:highlight w:val="green"/>
        </w:rPr>
      </w:pPr>
      <w:r>
        <w:rPr>
          <w:rFonts w:cs="Times New Roman" w:ascii="Times New Roman" w:hAnsi="Times New Roman"/>
          <w:sz w:val="24"/>
          <w:szCs w:val="24"/>
          <w:highlight w:val="green"/>
        </w:rPr>
        <w:t>В ЛС на ПНР коэффициенты, учитывающие условия производства работ, начисляются только на те этапы работ, которые фактически производятся в данных условиях. Долю работ в общих затратах, для начисления коэффициента, принимать в соответствии со структурой пусконаладочных работ, приведенной в Общих положениях сборников ПНР.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Стоимость шеф - монтажных и шеф - наладочных работ включается в сметную стоимость оборудования </w:t>
      </w:r>
      <w:r>
        <w:rPr>
          <w:rFonts w:cs="Times New Roman" w:ascii="Times New Roman" w:hAnsi="Times New Roman"/>
          <w:sz w:val="24"/>
          <w:szCs w:val="24"/>
          <w:highlight w:val="green"/>
        </w:rPr>
        <w:t>либо оформляется</w:t>
      </w:r>
      <w:r>
        <w:rPr>
          <w:rFonts w:cs="Times New Roman" w:ascii="Times New Roman" w:hAnsi="Times New Roman"/>
          <w:sz w:val="24"/>
          <w:szCs w:val="24"/>
        </w:rPr>
        <w:t xml:space="preserve"> отдельным расчетом (необходимо выбрать конкретный вариант). </w:t>
      </w:r>
    </w:p>
    <w:p>
      <w:pPr>
        <w:pStyle w:val="ConsPlusNormal1"/>
        <w:widowControl/>
        <w:tabs>
          <w:tab w:val="clear" w:pos="709"/>
          <w:tab w:val="left" w:pos="567" w:leader="none"/>
          <w:tab w:val="left" w:pos="993" w:leader="none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(</w:t>
      </w:r>
      <w:r>
        <w:rPr>
          <w:rFonts w:cs="Times New Roman" w:ascii="Times New Roman" w:hAnsi="Times New Roman"/>
          <w:color w:val="000000"/>
          <w:sz w:val="24"/>
          <w:szCs w:val="24"/>
        </w:rPr>
        <w:t>образец формы расчета представлен в Приложении №2 к Требованиям к оформлению и составлению сметной документации на выполнение строительно-монтажных работ при новом строительстве, по программе ремонтов, реконструкции и техническому перевооружению).</w:t>
      </w:r>
      <w:r>
        <w:rPr>
          <w:rFonts w:cs="Times New Roman" w:ascii="Times New Roman" w:hAnsi="Times New Roman"/>
          <w:sz w:val="24"/>
          <w:szCs w:val="24"/>
        </w:rPr>
        <w:t xml:space="preserve"> Участник (подрядчик, контрагент) представляет смету на шеф-монтажные работы составленную в соответствии с графиком выполнения работ.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firstLine="567"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6" w:name="_Ref19086149"/>
      <w:r>
        <w:rPr>
          <w:rFonts w:cs="Times New Roman" w:ascii="Times New Roman" w:hAnsi="Times New Roman"/>
          <w:sz w:val="24"/>
          <w:szCs w:val="24"/>
        </w:rPr>
        <w:t xml:space="preserve">В локальных сметных расчетах построчные и итоговые суммы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округлять:</w:t>
      </w:r>
      <w:bookmarkEnd w:id="6"/>
    </w:p>
    <w:p>
      <w:pPr>
        <w:pStyle w:val="ConsPlusNormal1"/>
        <w:numPr>
          <w:ilvl w:val="0"/>
          <w:numId w:val="28"/>
        </w:numPr>
        <w:tabs>
          <w:tab w:val="clear" w:pos="709"/>
          <w:tab w:val="left" w:pos="567" w:leader="none"/>
          <w:tab w:val="left" w:pos="851" w:leader="none"/>
          <w:tab w:val="left" w:pos="993" w:leader="none"/>
          <w:tab w:val="left" w:pos="1134" w:leader="none"/>
        </w:tabs>
        <w:spacing w:before="40" w:after="40"/>
        <w:ind w:firstLine="567" w:left="0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r>
        <w:rPr>
          <w:rFonts w:cs="Times New Roman" w:ascii="Times New Roman" w:hAnsi="Times New Roman"/>
          <w:sz w:val="24"/>
          <w:szCs w:val="24"/>
          <w:highlight w:val="lightGray"/>
        </w:rPr>
        <w:t xml:space="preserve">при базисно-индексном методе до </w:t>
      </w:r>
      <w:r>
        <w:rPr>
          <w:rFonts w:cs="Times New Roman" w:ascii="Times New Roman" w:hAnsi="Times New Roman"/>
          <w:b/>
          <w:sz w:val="24"/>
          <w:szCs w:val="24"/>
          <w:highlight w:val="lightGray"/>
        </w:rPr>
        <w:t>двух знаков</w:t>
      </w:r>
      <w:r>
        <w:rPr>
          <w:rFonts w:cs="Times New Roman" w:ascii="Times New Roman" w:hAnsi="Times New Roman"/>
          <w:sz w:val="24"/>
          <w:szCs w:val="24"/>
          <w:highlight w:val="lightGray"/>
        </w:rPr>
        <w:t xml:space="preserve"> после запятой (до копеек);</w:t>
      </w:r>
    </w:p>
    <w:p>
      <w:pPr>
        <w:pStyle w:val="ConsPlusNormal1"/>
        <w:numPr>
          <w:ilvl w:val="0"/>
          <w:numId w:val="28"/>
        </w:numPr>
        <w:tabs>
          <w:tab w:val="clear" w:pos="709"/>
          <w:tab w:val="left" w:pos="567" w:leader="none"/>
          <w:tab w:val="left" w:pos="851" w:leader="none"/>
          <w:tab w:val="left" w:pos="993" w:leader="none"/>
          <w:tab w:val="left" w:pos="1134" w:leader="none"/>
        </w:tabs>
        <w:spacing w:before="40" w:after="40"/>
        <w:ind w:firstLine="567" w:left="0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r>
        <w:rPr>
          <w:rFonts w:cs="Times New Roman" w:ascii="Times New Roman" w:hAnsi="Times New Roman"/>
          <w:sz w:val="24"/>
          <w:szCs w:val="24"/>
          <w:highlight w:val="lightGray"/>
        </w:rPr>
        <w:t xml:space="preserve">при ресурсно-индексном и ресурсным методах, а также в сметных расчетах на отдельные виды затрат - </w:t>
      </w:r>
      <w:r>
        <w:rPr>
          <w:rFonts w:cs="Times New Roman" w:ascii="Times New Roman" w:hAnsi="Times New Roman"/>
          <w:b/>
          <w:sz w:val="24"/>
          <w:szCs w:val="24"/>
          <w:highlight w:val="lightGray"/>
        </w:rPr>
        <w:t>в рублях</w:t>
      </w:r>
      <w:r>
        <w:rPr>
          <w:rFonts w:cs="Times New Roman" w:ascii="Times New Roman" w:hAnsi="Times New Roman"/>
          <w:sz w:val="24"/>
          <w:szCs w:val="24"/>
          <w:highlight w:val="lightGray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  <w:highlight w:val="lightGray"/>
        </w:rPr>
        <w:t>до целых единиц</w:t>
      </w:r>
      <w:r>
        <w:rPr>
          <w:rFonts w:cs="Times New Roman" w:ascii="Times New Roman" w:hAnsi="Times New Roman"/>
          <w:sz w:val="24"/>
          <w:szCs w:val="24"/>
          <w:highlight w:val="lightGray"/>
        </w:rPr>
        <w:t>;</w:t>
      </w:r>
    </w:p>
    <w:p>
      <w:pPr>
        <w:pStyle w:val="ConsPlusNormal1"/>
        <w:numPr>
          <w:ilvl w:val="0"/>
          <w:numId w:val="28"/>
        </w:numPr>
        <w:tabs>
          <w:tab w:val="clear" w:pos="709"/>
          <w:tab w:val="left" w:pos="567" w:leader="none"/>
          <w:tab w:val="left" w:pos="851" w:leader="none"/>
          <w:tab w:val="left" w:pos="993" w:leader="none"/>
          <w:tab w:val="left" w:pos="1134" w:leader="none"/>
        </w:tabs>
        <w:spacing w:before="40" w:after="40"/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 объектных сметных расчетах (сметах), сводном сметном расчете стоимости строительства и сводке затрат - </w:t>
      </w:r>
      <w:r>
        <w:rPr>
          <w:rFonts w:cs="Times New Roman" w:ascii="Times New Roman" w:hAnsi="Times New Roman"/>
          <w:b/>
          <w:sz w:val="24"/>
          <w:szCs w:val="24"/>
        </w:rPr>
        <w:t>рублях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до двух знаков</w:t>
      </w:r>
      <w:r>
        <w:rPr>
          <w:rFonts w:cs="Times New Roman" w:ascii="Times New Roman" w:hAnsi="Times New Roman"/>
          <w:sz w:val="24"/>
          <w:szCs w:val="24"/>
        </w:rPr>
        <w:t xml:space="preserve"> после запятой. Величину НДС не указывать.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Выходные формы сметных расчетов должны соответствовать Образцам по приложениям 1.5. </w:t>
      </w:r>
    </w:p>
    <w:p>
      <w:pPr>
        <w:pStyle w:val="ConsPlusNormal1"/>
        <w:widowControl/>
        <w:numPr>
          <w:ilvl w:val="0"/>
          <w:numId w:val="6"/>
        </w:numPr>
        <w:spacing w:before="40" w:after="40"/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>
      <w:pPr>
        <w:pStyle w:val="ConsPlusNormal1"/>
        <w:widowControl/>
        <w:numPr>
          <w:ilvl w:val="0"/>
          <w:numId w:val="6"/>
        </w:numPr>
        <w:spacing w:before="40" w:after="40"/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Сметная документация должна быть представлена в двух вариантах: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 бумажном носителе (количество указано в конкурсной документации);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 электронном носителе (в форматах «</w:t>
      </w:r>
      <w:r>
        <w:rPr>
          <w:rFonts w:cs="Times New Roman" w:ascii="Times New Roman" w:hAnsi="Times New Roman"/>
          <w:sz w:val="24"/>
          <w:szCs w:val="24"/>
          <w:lang w:val="en-US"/>
        </w:rPr>
        <w:t>xml</w:t>
      </w:r>
      <w:r>
        <w:rPr>
          <w:rFonts w:cs="Times New Roman" w:ascii="Times New Roman" w:hAnsi="Times New Roman"/>
          <w:sz w:val="24"/>
          <w:szCs w:val="24"/>
        </w:rPr>
        <w:t>»,</w:t>
      </w:r>
      <w:r>
        <w:rPr>
          <w:rFonts w:cs="Times New Roman" w:ascii="Times New Roman" w:hAnsi="Times New Roman"/>
          <w:color w:val="2E74B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ПК «Гранд-Смета», «Excel», «</w:t>
      </w:r>
      <w:r>
        <w:rPr>
          <w:rFonts w:cs="Times New Roman" w:ascii="Times New Roman" w:hAnsi="Times New Roman"/>
          <w:sz w:val="24"/>
          <w:szCs w:val="24"/>
          <w:lang w:val="en-US"/>
        </w:rPr>
        <w:t>pdf</w:t>
      </w:r>
      <w:r>
        <w:rPr>
          <w:rFonts w:cs="Times New Roman" w:ascii="Times New Roman" w:hAnsi="Times New Roman"/>
          <w:sz w:val="24"/>
          <w:szCs w:val="24"/>
        </w:rPr>
        <w:t>»), полностью соответствующему бумажному варианту;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сметная документация в формате «Exce</w:t>
      </w:r>
      <w:r>
        <w:rPr>
          <w:rFonts w:cs="Times New Roman" w:ascii="Times New Roman" w:hAnsi="Times New Roman"/>
          <w:sz w:val="24"/>
          <w:szCs w:val="24"/>
          <w:lang w:val="en-US"/>
        </w:rPr>
        <w:t>l</w:t>
      </w:r>
      <w:r>
        <w:rPr>
          <w:rFonts w:cs="Times New Roman" w:ascii="Times New Roman" w:hAnsi="Times New Roman"/>
          <w:sz w:val="24"/>
          <w:szCs w:val="24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>
      <w:pPr>
        <w:pStyle w:val="ConsPlusNormal1"/>
        <w:widowControl/>
        <w:spacing w:before="40" w:after="40"/>
        <w:ind w:hanging="0" w:left="709"/>
        <w:jc w:val="both"/>
        <w:rPr>
          <w:rFonts w:ascii="Times New Roman" w:hAnsi="Times New Roman" w:cs="Times New Roman"/>
          <w:strike/>
          <w:sz w:val="24"/>
          <w:szCs w:val="24"/>
          <w:highlight w:val="yellow"/>
        </w:rPr>
      </w:pPr>
      <w:r>
        <w:rPr>
          <w:rFonts w:cs="Times New Roman" w:ascii="Times New Roman" w:hAnsi="Times New Roman"/>
          <w:strike/>
          <w:sz w:val="24"/>
          <w:szCs w:val="24"/>
          <w:highlight w:val="yellow"/>
        </w:rPr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sectPr>
          <w:footerReference w:type="default" r:id="rId7"/>
          <w:footerReference w:type="first" r:id="rId8"/>
          <w:footnotePr>
            <w:numFmt w:val="decimal"/>
            <w:numRestart w:val="eachSect"/>
          </w:footnotePr>
          <w:type w:val="nextPage"/>
          <w:pgSz w:w="11906" w:h="16838"/>
          <w:pgMar w:left="1276" w:right="707" w:gutter="0" w:header="0" w:top="851" w:footer="709" w:bottom="766"/>
          <w:pgNumType w:fmt="decimal"/>
          <w:formProt w:val="false"/>
          <w:textDirection w:val="lrTb"/>
          <w:docGrid w:type="default" w:linePitch="360" w:charSpace="0"/>
        </w:sect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Style w:val="Style15"/>
          <w:rFonts w:ascii="Times New Roman" w:hAnsi="Times New Roman"/>
          <w:iCs/>
        </w:rPr>
      </w:pPr>
      <w:r>
        <w:rPr>
          <w:rStyle w:val="Style15"/>
          <w:rFonts w:ascii="Times New Roman" w:hAnsi="Times New Roman"/>
          <w:iCs/>
        </w:rPr>
        <w:t>Приложение № 1</w:t>
      </w:r>
    </w:p>
    <w:p>
      <w:pPr>
        <w:pStyle w:val="ConsPlusNormal1"/>
        <w:widowControl/>
        <w:tabs>
          <w:tab w:val="clear" w:pos="709"/>
          <w:tab w:val="left" w:pos="284" w:leader="none"/>
        </w:tabs>
        <w:ind w:firstLine="709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Требованиям к оформлению </w:t>
      </w:r>
    </w:p>
    <w:p>
      <w:pPr>
        <w:pStyle w:val="ConsPlusNormal1"/>
        <w:widowControl/>
        <w:tabs>
          <w:tab w:val="clear" w:pos="709"/>
          <w:tab w:val="left" w:pos="284" w:leader="none"/>
        </w:tabs>
        <w:ind w:firstLine="709"/>
        <w:jc w:val="right"/>
        <w:rPr>
          <w:rFonts w:ascii="Times New Roman" w:hAnsi="Times New Roman"/>
        </w:rPr>
      </w:pPr>
      <w:r>
        <w:rPr>
          <w:rFonts w:cs="Times New Roman" w:ascii="Times New Roman" w:hAnsi="Times New Roman"/>
          <w:sz w:val="22"/>
          <w:szCs w:val="22"/>
        </w:rPr>
        <w:t xml:space="preserve">и составлению сметной документации 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</w:rPr>
        <w:t xml:space="preserve">на </w:t>
      </w:r>
      <w:r>
        <w:rPr>
          <w:rFonts w:ascii="Times New Roman" w:hAnsi="Times New Roman"/>
          <w:bCs/>
        </w:rPr>
        <w:t xml:space="preserve">строительство и реконструкцию объектов 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  <w:bCs/>
        </w:rPr>
        <w:t>капитального строительства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ind w:left="567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ind w:left="56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Образец 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ind w:left="56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ind w:left="56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ind w:left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Смета Договора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ind w:left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ind w:left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ind w:left="567"/>
        <w:jc w:val="center"/>
        <w:rPr>
          <w:rFonts w:ascii="Times New Roman" w:hAnsi="Times New Roman"/>
          <w:i/>
          <w:i/>
        </w:rPr>
      </w:pPr>
      <w:r>
        <w:rPr>
          <w:rFonts w:ascii="Times New Roman" w:hAnsi="Times New Roman"/>
          <w:i/>
        </w:rPr>
        <w:t>(наименование объекта)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ind w:left="567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tbl>
      <w:tblPr>
        <w:tblStyle w:val="af"/>
        <w:tblW w:w="13745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25"/>
        <w:gridCol w:w="3905"/>
        <w:gridCol w:w="1560"/>
        <w:gridCol w:w="1417"/>
        <w:gridCol w:w="2836"/>
        <w:gridCol w:w="1348"/>
        <w:gridCol w:w="2053"/>
      </w:tblGrid>
      <w:tr>
        <w:trPr/>
        <w:tc>
          <w:tcPr>
            <w:tcW w:w="625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ind w:left="567"/>
              <w:jc w:val="center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N п/п</w:t>
            </w:r>
          </w:p>
        </w:tc>
        <w:tc>
          <w:tcPr>
            <w:tcW w:w="3905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ind w:left="567"/>
              <w:jc w:val="center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Наименование конструктивных решений (элементов), комплексов (видов) работ, оборудования</w:t>
            </w:r>
            <w:r>
              <w:rPr>
                <w:rStyle w:val="FootnoteReference"/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footnoteReference w:id="6"/>
            </w:r>
          </w:p>
        </w:tc>
        <w:tc>
          <w:tcPr>
            <w:tcW w:w="1560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ind w:left="567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Единица измерения</w:t>
            </w:r>
            <w:r>
              <w:rPr>
                <w:rStyle w:val="Style3"/>
                <w:rFonts w:eastAsia="Times New Roman" w:cs="Times New Roman"/>
                <w:kern w:val="0"/>
                <w:lang w:val="en-US" w:eastAsia="ru-RU" w:bidi="ar-SA"/>
              </w:rPr>
              <w:t>1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0" w:leader="none"/>
              </w:tabs>
              <w:spacing w:lineRule="auto" w:line="240" w:before="0" w:after="0"/>
              <w:ind w:left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Количество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0" w:leader="none"/>
              </w:tabs>
              <w:spacing w:lineRule="auto" w:line="240" w:before="0" w:after="0"/>
              <w:ind w:left="567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(объем работ)</w:t>
            </w:r>
            <w:r>
              <w:rPr>
                <w:rStyle w:val="Style3"/>
                <w:rFonts w:eastAsia="Times New Roman" w:cs="Times New Roman"/>
                <w:kern w:val="0"/>
                <w:lang w:val="en-US" w:eastAsia="ru-RU" w:bidi="ar-SA"/>
              </w:rPr>
              <w:t>1</w:t>
            </w:r>
          </w:p>
        </w:tc>
        <w:tc>
          <w:tcPr>
            <w:tcW w:w="2836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90" w:leader="none"/>
                <w:tab w:val="left" w:pos="1200" w:leader="none"/>
              </w:tabs>
              <w:spacing w:lineRule="auto" w:line="240" w:before="0" w:after="0"/>
              <w:ind w:left="567"/>
              <w:jc w:val="center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Цена на единицу измерения, без НДС руб.</w:t>
            </w:r>
          </w:p>
        </w:tc>
        <w:tc>
          <w:tcPr>
            <w:tcW w:w="1348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ind w:left="567"/>
              <w:jc w:val="center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Стоимость всего, руб.</w:t>
            </w:r>
            <w:r>
              <w:rPr>
                <w:rStyle w:val="FootnoteReference"/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footnoteReference w:id="7"/>
            </w:r>
          </w:p>
        </w:tc>
        <w:tc>
          <w:tcPr>
            <w:tcW w:w="2053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ind w:left="567"/>
              <w:jc w:val="center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Страна происхождения оборудования</w:t>
            </w:r>
          </w:p>
        </w:tc>
      </w:tr>
      <w:tr>
        <w:trPr/>
        <w:tc>
          <w:tcPr>
            <w:tcW w:w="625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ind w:left="567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1</w:t>
            </w:r>
          </w:p>
        </w:tc>
        <w:tc>
          <w:tcPr>
            <w:tcW w:w="3905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ind w:left="567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2</w:t>
            </w:r>
          </w:p>
        </w:tc>
        <w:tc>
          <w:tcPr>
            <w:tcW w:w="1560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ind w:left="567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3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ind w:left="567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4</w:t>
            </w:r>
          </w:p>
        </w:tc>
        <w:tc>
          <w:tcPr>
            <w:tcW w:w="2836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ind w:left="567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1348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ind w:left="567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6</w:t>
            </w:r>
          </w:p>
        </w:tc>
        <w:tc>
          <w:tcPr>
            <w:tcW w:w="2053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ind w:left="567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7</w:t>
            </w:r>
          </w:p>
        </w:tc>
      </w:tr>
      <w:tr>
        <w:trPr/>
        <w:tc>
          <w:tcPr>
            <w:tcW w:w="625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ind w:left="567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3905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ind w:left="567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560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ind w:left="567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ind w:left="567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2836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ind w:left="567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348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ind w:left="567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2053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ind w:left="567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625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ind w:left="567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3905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ind w:left="567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560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ind w:left="567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ind w:left="567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2836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ind w:left="567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348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ind w:left="567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2053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ind w:left="567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625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ind w:left="567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3905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ind w:left="567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  <w:t>Итого:</w:t>
            </w:r>
          </w:p>
        </w:tc>
        <w:tc>
          <w:tcPr>
            <w:tcW w:w="1560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ind w:left="567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ind w:left="567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2836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ind w:left="567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348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ind w:left="567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2053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ind w:left="567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625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ind w:left="567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3905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ind w:left="567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  <w:t>Сумма  НДС:</w:t>
            </w:r>
          </w:p>
        </w:tc>
        <w:tc>
          <w:tcPr>
            <w:tcW w:w="1560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ind w:left="567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ind w:left="567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2836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ind w:left="567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348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ind w:left="567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2053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ind w:left="567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625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ind w:left="567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3905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ind w:left="567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  <w:t>Всего с НДС</w:t>
            </w:r>
          </w:p>
        </w:tc>
        <w:tc>
          <w:tcPr>
            <w:tcW w:w="1560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ind w:left="567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ind w:left="567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2836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ind w:left="567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348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ind w:left="567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2053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ind w:left="567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</w:tr>
    </w:tbl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ind w:left="567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hd w:val="clear" w:color="auto" w:fill="FFFFFF"/>
        <w:spacing w:lineRule="auto" w:line="240" w:before="0" w:after="0"/>
        <w:ind w:left="567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Заказчик:    </w:t>
      </w:r>
      <w:r>
        <w:rPr>
          <w:rFonts w:ascii="Times New Roman" w:hAnsi="Times New Roman"/>
        </w:rPr>
        <w:t>/должность, организация/_______/подпись/___________/расшифровка подписи/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ind w:left="56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ind w:left="56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hd w:val="clear" w:color="auto" w:fill="FFFFFF"/>
        <w:spacing w:lineRule="auto" w:line="240" w:before="0" w:after="0"/>
        <w:ind w:left="567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Подрядчик: :    </w:t>
      </w:r>
      <w:r>
        <w:rPr>
          <w:rFonts w:ascii="Times New Roman" w:hAnsi="Times New Roman"/>
        </w:rPr>
        <w:t>/должность, организация/_______/подпись/___________/расшифровка подписи/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ind w:left="56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ind w:left="567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Style w:val="Style15"/>
          <w:rFonts w:ascii="Times New Roman" w:hAnsi="Times New Roman"/>
          <w:iCs/>
        </w:rPr>
      </w:pPr>
      <w:bookmarkStart w:id="7" w:name="l536"/>
      <w:bookmarkStart w:id="8" w:name="l537"/>
      <w:bookmarkEnd w:id="7"/>
      <w:bookmarkEnd w:id="8"/>
      <w:r>
        <w:rPr>
          <w:rStyle w:val="Style15"/>
          <w:rFonts w:ascii="Times New Roman" w:hAnsi="Times New Roman"/>
          <w:iCs/>
        </w:rPr>
        <w:t>Приложение № 2</w:t>
      </w:r>
    </w:p>
    <w:p>
      <w:pPr>
        <w:pStyle w:val="ConsPlusNormal1"/>
        <w:widowControl/>
        <w:tabs>
          <w:tab w:val="clear" w:pos="709"/>
          <w:tab w:val="left" w:pos="284" w:leader="none"/>
        </w:tabs>
        <w:ind w:firstLine="709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Требованиям к оформлению </w:t>
      </w:r>
    </w:p>
    <w:p>
      <w:pPr>
        <w:pStyle w:val="ConsPlusNormal1"/>
        <w:widowControl/>
        <w:tabs>
          <w:tab w:val="clear" w:pos="709"/>
          <w:tab w:val="left" w:pos="284" w:leader="none"/>
        </w:tabs>
        <w:ind w:firstLine="709"/>
        <w:jc w:val="right"/>
        <w:rPr>
          <w:rFonts w:ascii="Times New Roman" w:hAnsi="Times New Roman"/>
        </w:rPr>
      </w:pPr>
      <w:r>
        <w:rPr>
          <w:rFonts w:cs="Times New Roman" w:ascii="Times New Roman" w:hAnsi="Times New Roman"/>
          <w:sz w:val="22"/>
          <w:szCs w:val="22"/>
        </w:rPr>
        <w:t xml:space="preserve">и составлению сметной документации 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</w:rPr>
        <w:t xml:space="preserve">на </w:t>
      </w:r>
      <w:r>
        <w:rPr>
          <w:rFonts w:ascii="Times New Roman" w:hAnsi="Times New Roman"/>
          <w:bCs/>
        </w:rPr>
        <w:t xml:space="preserve">строительство и реконструкцию объектов 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Cs/>
        </w:rPr>
        <w:t>капитального строительства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Образец 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Смета Договора (с учетом изменения) 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center"/>
        <w:rPr>
          <w:rFonts w:ascii="Times New Roman" w:hAnsi="Times New Roman"/>
          <w:i/>
          <w:i/>
        </w:rPr>
      </w:pPr>
      <w:r>
        <w:rPr>
          <w:rFonts w:ascii="Times New Roman" w:hAnsi="Times New Roman"/>
          <w:i/>
        </w:rPr>
        <w:t>(наименование объекта)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tbl>
      <w:tblPr>
        <w:tblStyle w:val="af"/>
        <w:tblW w:w="15429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86"/>
        <w:gridCol w:w="3141"/>
        <w:gridCol w:w="876"/>
        <w:gridCol w:w="1631"/>
        <w:gridCol w:w="1492"/>
        <w:gridCol w:w="1631"/>
        <w:gridCol w:w="1493"/>
        <w:gridCol w:w="1631"/>
        <w:gridCol w:w="1494"/>
        <w:gridCol w:w="1552"/>
      </w:tblGrid>
      <w:tr>
        <w:trPr/>
        <w:tc>
          <w:tcPr>
            <w:tcW w:w="486" w:type="dxa"/>
            <w:vMerge w:val="restart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N п/п</w:t>
            </w:r>
          </w:p>
        </w:tc>
        <w:tc>
          <w:tcPr>
            <w:tcW w:w="3141" w:type="dxa"/>
            <w:vMerge w:val="restart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Наименование конструктивных решений (элементов), комплексов (видов) работ, оборудования</w:t>
            </w:r>
            <w:r>
              <w:rPr>
                <w:rStyle w:val="FootnoteReference"/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footnoteReference w:id="8"/>
            </w:r>
          </w:p>
        </w:tc>
        <w:tc>
          <w:tcPr>
            <w:tcW w:w="876" w:type="dxa"/>
            <w:vMerge w:val="restart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Ед.  изм</w:t>
            </w:r>
            <w:r>
              <w:rPr>
                <w:rStyle w:val="Style3"/>
                <w:rFonts w:eastAsia="Times New Roman" w:cs="Times New Roman" w:ascii="Times New Roman" w:hAnsi="Times New Roman"/>
                <w:kern w:val="0"/>
                <w:sz w:val="20"/>
                <w:szCs w:val="20"/>
                <w:lang w:val="en-US" w:eastAsia="ru-RU" w:bidi="ar-SA"/>
              </w:rPr>
              <w:t>1</w:t>
            </w:r>
          </w:p>
        </w:tc>
        <w:tc>
          <w:tcPr>
            <w:tcW w:w="3123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0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Количество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0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(объем работ)</w:t>
            </w:r>
            <w:r>
              <w:rPr>
                <w:rStyle w:val="Style3"/>
                <w:rFonts w:eastAsia="Times New Roman" w:cs="Times New Roman" w:ascii="Times New Roman" w:hAnsi="Times New Roman"/>
                <w:kern w:val="0"/>
                <w:sz w:val="20"/>
                <w:szCs w:val="20"/>
                <w:lang w:val="en-US" w:eastAsia="ru-RU" w:bidi="ar-SA"/>
              </w:rPr>
              <w:t>1</w:t>
            </w:r>
          </w:p>
        </w:tc>
        <w:tc>
          <w:tcPr>
            <w:tcW w:w="3124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0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Цена на единицу измерения, без НДС руб.</w:t>
            </w:r>
          </w:p>
        </w:tc>
        <w:tc>
          <w:tcPr>
            <w:tcW w:w="3125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Стоимость всего, руб.</w:t>
            </w:r>
            <w:r>
              <w:rPr>
                <w:rStyle w:val="FootnoteReference"/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footnoteReference w:id="9"/>
            </w:r>
          </w:p>
        </w:tc>
        <w:tc>
          <w:tcPr>
            <w:tcW w:w="1552" w:type="dxa"/>
            <w:vMerge w:val="restart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Страна происхождения оборудования</w:t>
            </w:r>
          </w:p>
        </w:tc>
      </w:tr>
      <w:tr>
        <w:trPr/>
        <w:tc>
          <w:tcPr>
            <w:tcW w:w="486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141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876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3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первоначальный</w:t>
            </w:r>
          </w:p>
        </w:tc>
        <w:tc>
          <w:tcPr>
            <w:tcW w:w="1492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С учетом корректировки</w:t>
            </w:r>
          </w:p>
        </w:tc>
        <w:tc>
          <w:tcPr>
            <w:tcW w:w="163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первоначальный</w:t>
            </w:r>
          </w:p>
        </w:tc>
        <w:tc>
          <w:tcPr>
            <w:tcW w:w="1493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С учетом корректировки</w:t>
            </w:r>
          </w:p>
        </w:tc>
        <w:tc>
          <w:tcPr>
            <w:tcW w:w="163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первоначальный</w:t>
            </w:r>
          </w:p>
        </w:tc>
        <w:tc>
          <w:tcPr>
            <w:tcW w:w="1494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С учетом корректировки</w:t>
            </w:r>
          </w:p>
        </w:tc>
        <w:tc>
          <w:tcPr>
            <w:tcW w:w="1552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486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14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876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3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492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3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493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3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494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552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486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314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876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63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492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63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493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63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494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552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486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314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876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63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492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63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493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63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494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552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486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314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  <w:t>Итого:</w:t>
            </w:r>
          </w:p>
        </w:tc>
        <w:tc>
          <w:tcPr>
            <w:tcW w:w="876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63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492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63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493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63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494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552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486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314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  <w:t>Сумма НДС:</w:t>
            </w:r>
          </w:p>
        </w:tc>
        <w:tc>
          <w:tcPr>
            <w:tcW w:w="876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63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492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63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493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63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494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552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486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314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  <w:t>Всего с НДС</w:t>
            </w:r>
          </w:p>
        </w:tc>
        <w:tc>
          <w:tcPr>
            <w:tcW w:w="876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63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492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63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493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63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494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552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</w:tr>
    </w:tbl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Заказчик:    </w:t>
      </w:r>
      <w:r>
        <w:rPr>
          <w:rFonts w:ascii="Times New Roman" w:hAnsi="Times New Roman"/>
        </w:rPr>
        <w:t>/должность, организация/_______/подпись/___________/расшифровка подписи/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Подрядчик:    </w:t>
      </w:r>
      <w:r>
        <w:rPr>
          <w:rFonts w:ascii="Times New Roman" w:hAnsi="Times New Roman"/>
        </w:rPr>
        <w:t>/должность, организация/_______/подпись/___________/расшифровка подписи/</w:t>
      </w:r>
    </w:p>
    <w:p>
      <w:pPr>
        <w:sectPr>
          <w:footerReference w:type="default" r:id="rId9"/>
          <w:footerReference w:type="first" r:id="rId10"/>
          <w:footnotePr>
            <w:numFmt w:val="decimal"/>
            <w:numRestart w:val="eachSect"/>
          </w:footnotePr>
          <w:type w:val="nextPage"/>
          <w:pgSz w:orient="landscape" w:w="16838" w:h="11906"/>
          <w:pgMar w:left="425" w:right="851" w:gutter="0" w:header="0" w:top="1276" w:footer="709" w:bottom="766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br w:type="page"/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Style w:val="Style15"/>
          <w:rFonts w:ascii="Times New Roman" w:hAnsi="Times New Roman"/>
          <w:iCs/>
        </w:rPr>
      </w:pPr>
      <w:r>
        <w:rPr>
          <w:rStyle w:val="Style15"/>
          <w:rFonts w:ascii="Times New Roman" w:hAnsi="Times New Roman"/>
          <w:iCs/>
        </w:rPr>
        <w:t>Приложение № 3</w:t>
      </w:r>
    </w:p>
    <w:p>
      <w:pPr>
        <w:pStyle w:val="ConsPlusNormal1"/>
        <w:widowControl/>
        <w:tabs>
          <w:tab w:val="clear" w:pos="709"/>
          <w:tab w:val="left" w:pos="284" w:leader="none"/>
        </w:tabs>
        <w:ind w:firstLine="709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Требованиям к оформлению </w:t>
      </w:r>
    </w:p>
    <w:p>
      <w:pPr>
        <w:pStyle w:val="ConsPlusNormal1"/>
        <w:widowControl/>
        <w:tabs>
          <w:tab w:val="clear" w:pos="709"/>
          <w:tab w:val="left" w:pos="284" w:leader="none"/>
        </w:tabs>
        <w:ind w:firstLine="709"/>
        <w:jc w:val="right"/>
        <w:rPr>
          <w:rFonts w:ascii="Times New Roman" w:hAnsi="Times New Roman"/>
        </w:rPr>
      </w:pPr>
      <w:r>
        <w:rPr>
          <w:rFonts w:cs="Times New Roman" w:ascii="Times New Roman" w:hAnsi="Times New Roman"/>
          <w:sz w:val="22"/>
          <w:szCs w:val="22"/>
        </w:rPr>
        <w:t xml:space="preserve">и составлению сметной документации 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</w:rPr>
        <w:t xml:space="preserve">на </w:t>
      </w:r>
      <w:r>
        <w:rPr>
          <w:rFonts w:ascii="Times New Roman" w:hAnsi="Times New Roman"/>
          <w:bCs/>
        </w:rPr>
        <w:t xml:space="preserve">строительство и реконструкцию объектов 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Style w:val="Style15"/>
          <w:rFonts w:ascii="Times New Roman" w:hAnsi="Times New Roman"/>
          <w:iCs/>
        </w:rPr>
      </w:pPr>
      <w:r>
        <w:rPr>
          <w:rFonts w:ascii="Times New Roman" w:hAnsi="Times New Roman"/>
          <w:bCs/>
        </w:rPr>
        <w:t>капитального строительства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Style w:val="Style15"/>
          <w:rFonts w:ascii="Times New Roman" w:hAnsi="Times New Roman"/>
          <w:iCs/>
        </w:rPr>
      </w:pPr>
      <w:r>
        <w:rPr>
          <w:rFonts w:ascii="Times New Roman" w:hAnsi="Times New Roman"/>
          <w:iCs/>
        </w:rPr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rPr>
          <w:rFonts w:ascii="Times New Roman" w:hAnsi="Times New Roman"/>
          <w:b/>
        </w:rPr>
      </w:pPr>
      <w:r>
        <w:rPr/>
        <w:t>Образец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Ведомость объемов конструктивных решений (элементов) и комплексов (видов) работ, оборудования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center"/>
        <w:rPr>
          <w:rFonts w:ascii="Times New Roman" w:hAnsi="Times New Roman"/>
          <w:i/>
          <w:i/>
        </w:rPr>
      </w:pPr>
      <w:r>
        <w:rPr>
          <w:rFonts w:ascii="Times New Roman" w:hAnsi="Times New Roman"/>
          <w:i/>
        </w:rPr>
        <w:t>(наименование объекта)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Style w:val="Style15"/>
          <w:rFonts w:ascii="Times New Roman" w:hAnsi="Times New Roman"/>
          <w:iCs/>
        </w:rPr>
      </w:pPr>
      <w:r>
        <w:rPr>
          <w:rFonts w:ascii="Times New Roman" w:hAnsi="Times New Roman"/>
          <w:iCs/>
        </w:rPr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Style w:val="Style15"/>
          <w:rFonts w:ascii="Times New Roman" w:hAnsi="Times New Roman"/>
          <w:iCs/>
        </w:rPr>
      </w:pPr>
      <w:r>
        <w:rPr>
          <w:rFonts w:ascii="Times New Roman" w:hAnsi="Times New Roman"/>
          <w:iCs/>
        </w:rPr>
      </w:r>
    </w:p>
    <w:tbl>
      <w:tblPr>
        <w:tblStyle w:val="af"/>
        <w:tblW w:w="9854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15"/>
        <w:gridCol w:w="3349"/>
        <w:gridCol w:w="2433"/>
        <w:gridCol w:w="1247"/>
        <w:gridCol w:w="2210"/>
      </w:tblGrid>
      <w:tr>
        <w:trPr/>
        <w:tc>
          <w:tcPr>
            <w:tcW w:w="615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№</w:t>
            </w: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п/п</w:t>
            </w:r>
          </w:p>
        </w:tc>
        <w:tc>
          <w:tcPr>
            <w:tcW w:w="3349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Н</w:t>
            </w: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омера сметных расчетов (смет) и позиций в сметных расчетах (сметах), относящиеся к соответствующим конструктивным решениям (элементам), комплексам (видам) работ</w:t>
            </w:r>
          </w:p>
        </w:tc>
        <w:tc>
          <w:tcPr>
            <w:tcW w:w="2433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Наименование конструктивных решений (элементов), комплексов (видов) работ, оборудования</w:t>
            </w:r>
            <w:r>
              <w:rPr>
                <w:rStyle w:val="FootnoteReference"/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footnoteReference w:id="10"/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Единица измерения</w:t>
            </w:r>
          </w:p>
        </w:tc>
        <w:tc>
          <w:tcPr>
            <w:tcW w:w="2210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Количество (объем работ)</w:t>
            </w:r>
          </w:p>
        </w:tc>
      </w:tr>
      <w:tr>
        <w:trPr/>
        <w:tc>
          <w:tcPr>
            <w:tcW w:w="615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3349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2433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2210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5</w:t>
            </w:r>
          </w:p>
        </w:tc>
      </w:tr>
      <w:tr>
        <w:trPr/>
        <w:tc>
          <w:tcPr>
            <w:tcW w:w="615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Style w:val="Style15"/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</w:r>
          </w:p>
        </w:tc>
        <w:tc>
          <w:tcPr>
            <w:tcW w:w="3349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Style w:val="Style15"/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</w:r>
          </w:p>
        </w:tc>
        <w:tc>
          <w:tcPr>
            <w:tcW w:w="2433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Style w:val="Style15"/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Style w:val="Style15"/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</w:r>
          </w:p>
        </w:tc>
        <w:tc>
          <w:tcPr>
            <w:tcW w:w="2210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Style w:val="Style15"/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</w:r>
          </w:p>
        </w:tc>
      </w:tr>
      <w:tr>
        <w:trPr/>
        <w:tc>
          <w:tcPr>
            <w:tcW w:w="615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Style w:val="Style15"/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</w:r>
          </w:p>
        </w:tc>
        <w:tc>
          <w:tcPr>
            <w:tcW w:w="3349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Style w:val="Style15"/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</w:r>
          </w:p>
        </w:tc>
        <w:tc>
          <w:tcPr>
            <w:tcW w:w="2433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Style w:val="Style15"/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Style w:val="Style15"/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</w:r>
          </w:p>
        </w:tc>
        <w:tc>
          <w:tcPr>
            <w:tcW w:w="2210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right"/>
              <w:rPr>
                <w:rStyle w:val="Style15"/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</w:r>
          </w:p>
        </w:tc>
      </w:tr>
    </w:tbl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Style w:val="Style15"/>
          <w:rFonts w:ascii="Times New Roman" w:hAnsi="Times New Roman"/>
          <w:iCs/>
        </w:rPr>
      </w:pPr>
      <w:r>
        <w:rPr>
          <w:rFonts w:ascii="Times New Roman" w:hAnsi="Times New Roman"/>
          <w:iCs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Составил:    </w:t>
      </w:r>
      <w:r>
        <w:rPr>
          <w:rFonts w:ascii="Times New Roman" w:hAnsi="Times New Roman"/>
        </w:rPr>
        <w:t>/должность, организация/_______/подпись/___________/расшифровка подписи/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Проверил:     </w:t>
      </w:r>
      <w:r>
        <w:rPr>
          <w:rFonts w:ascii="Times New Roman" w:hAnsi="Times New Roman"/>
        </w:rPr>
        <w:t>/должность, организация/_______/подпись/___________/расшифровка подписи/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Style w:val="Style15"/>
          <w:rFonts w:ascii="Times New Roman" w:hAnsi="Times New Roman"/>
          <w:iCs/>
        </w:rPr>
      </w:pPr>
      <w:r>
        <w:rPr>
          <w:rFonts w:ascii="Times New Roman" w:hAnsi="Times New Roman"/>
          <w:iCs/>
        </w:rPr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Style w:val="Style15"/>
          <w:rFonts w:ascii="Times New Roman" w:hAnsi="Times New Roman"/>
          <w:iCs/>
        </w:rPr>
      </w:pPr>
      <w:r>
        <w:rPr>
          <w:rFonts w:ascii="Times New Roman" w:hAnsi="Times New Roman"/>
          <w:iCs/>
        </w:rPr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Style w:val="Style15"/>
          <w:rFonts w:ascii="Times New Roman" w:hAnsi="Times New Roman"/>
          <w:iCs/>
        </w:rPr>
      </w:pPr>
      <w:r>
        <w:rPr>
          <w:rFonts w:ascii="Times New Roman" w:hAnsi="Times New Roman"/>
          <w:iCs/>
        </w:rPr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Style w:val="Style15"/>
          <w:rFonts w:ascii="Times New Roman" w:hAnsi="Times New Roman"/>
          <w:iCs/>
        </w:rPr>
      </w:pPr>
      <w:r>
        <w:rPr>
          <w:rFonts w:ascii="Times New Roman" w:hAnsi="Times New Roman"/>
          <w:iCs/>
        </w:rPr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Style w:val="Style15"/>
          <w:rFonts w:ascii="Times New Roman" w:hAnsi="Times New Roman"/>
          <w:iCs/>
        </w:rPr>
      </w:pPr>
      <w:r>
        <w:rPr>
          <w:rFonts w:ascii="Times New Roman" w:hAnsi="Times New Roman"/>
          <w:iCs/>
        </w:rPr>
      </w:r>
    </w:p>
    <w:p>
      <w:pPr>
        <w:sectPr>
          <w:footerReference w:type="default" r:id="rId11"/>
          <w:footerReference w:type="first" r:id="rId12"/>
          <w:footnotePr>
            <w:numFmt w:val="decimal"/>
            <w:numRestart w:val="eachSect"/>
          </w:footnotePr>
          <w:type w:val="nextPage"/>
          <w:pgSz w:w="11906" w:h="16838"/>
          <w:pgMar w:left="1276" w:right="709" w:gutter="0" w:header="0" w:top="851" w:footer="709" w:bottom="766"/>
          <w:pgNumType w:fmt="decimal"/>
          <w:formProt w:val="false"/>
          <w:textDirection w:val="lrTb"/>
          <w:docGrid w:type="default" w:linePitch="360" w:charSpace="0"/>
        </w:sect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Style w:val="Style15"/>
          <w:rFonts w:ascii="Times New Roman" w:hAnsi="Times New Roman"/>
          <w:iCs/>
        </w:rPr>
      </w:pPr>
      <w:r>
        <w:rPr>
          <w:rFonts w:ascii="Times New Roman" w:hAnsi="Times New Roman"/>
          <w:iCs/>
        </w:rPr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Style w:val="Style15"/>
          <w:rFonts w:ascii="Times New Roman" w:hAnsi="Times New Roman"/>
          <w:iCs/>
        </w:rPr>
      </w:pPr>
      <w:r>
        <w:rPr>
          <w:rStyle w:val="Style15"/>
          <w:rFonts w:ascii="Times New Roman" w:hAnsi="Times New Roman"/>
          <w:iCs/>
        </w:rPr>
        <w:t>Приложение № 2</w:t>
      </w:r>
    </w:p>
    <w:p>
      <w:pPr>
        <w:pStyle w:val="Normal"/>
        <w:widowControl w:val="false"/>
        <w:pBdr>
          <w:bottom w:val="single" w:sz="4" w:space="1" w:color="000000"/>
        </w:pBdr>
        <w:tabs>
          <w:tab w:val="clear" w:pos="709"/>
          <w:tab w:val="left" w:pos="426" w:leader="none"/>
        </w:tabs>
        <w:spacing w:lineRule="auto" w:line="240" w:before="0" w:after="0"/>
        <w:jc w:val="right"/>
        <w:rPr>
          <w:rFonts w:ascii="Times New Roman" w:hAnsi="Times New Roman"/>
          <w:b/>
        </w:rPr>
      </w:pPr>
      <w:r>
        <w:rPr>
          <w:rStyle w:val="Style15"/>
          <w:rFonts w:ascii="Times New Roman" w:hAnsi="Times New Roman"/>
          <w:iCs/>
        </w:rPr>
        <w:t xml:space="preserve">к Основным положениям </w:t>
        <w:br/>
        <w:t xml:space="preserve">по установлению требований к оформлению </w:t>
        <w:br/>
        <w:t xml:space="preserve">и составлению сметной документации </w:t>
      </w:r>
    </w:p>
    <w:p>
      <w:pPr>
        <w:pStyle w:val="ConsPlusNormal1"/>
        <w:widowControl/>
        <w:tabs>
          <w:tab w:val="clear" w:pos="709"/>
          <w:tab w:val="left" w:pos="1260" w:leader="none"/>
        </w:tabs>
        <w:ind w:hanging="1080" w:left="126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ConsPlusNormal1"/>
        <w:widowControl/>
        <w:tabs>
          <w:tab w:val="clear" w:pos="709"/>
          <w:tab w:val="left" w:pos="1260" w:leader="none"/>
        </w:tabs>
        <w:ind w:hanging="1080" w:left="12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Требования к оформлению и составлению</w:t>
      </w:r>
    </w:p>
    <w:p>
      <w:pPr>
        <w:pStyle w:val="ConsPlusNormal1"/>
        <w:widowControl/>
        <w:tabs>
          <w:tab w:val="clear" w:pos="709"/>
          <w:tab w:val="left" w:pos="1620" w:leader="none"/>
        </w:tabs>
        <w:ind w:firstLine="1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сметной документации на работы по программе ремонтов, реконструкции и техническому перевооружению (не относящихся к работам, стоимость которых определяется в соответствии со Статьей 8.3 Градостроительного кодекса РФ).</w:t>
      </w:r>
    </w:p>
    <w:p>
      <w:pPr>
        <w:pStyle w:val="ConsPlusNormal1"/>
        <w:widowControl/>
        <w:tabs>
          <w:tab w:val="clear" w:pos="709"/>
          <w:tab w:val="left" w:pos="1620" w:leader="none"/>
        </w:tabs>
        <w:ind w:firstLine="18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1"/>
        <w:widowControl/>
        <w:numPr>
          <w:ilvl w:val="0"/>
          <w:numId w:val="23"/>
        </w:numPr>
        <w:tabs>
          <w:tab w:val="clear" w:pos="709"/>
          <w:tab w:val="left" w:pos="1134" w:leader="none"/>
        </w:tabs>
        <w:ind w:firstLine="567" w:left="0"/>
        <w:jc w:val="both"/>
        <w:rPr>
          <w:rFonts w:ascii="Times New Roman" w:hAnsi="Times New Roman" w:cs="Times New Roman"/>
          <w:color w:val="000000"/>
          <w:sz w:val="24"/>
          <w:szCs w:val="24"/>
          <w:highlight w:val="green"/>
        </w:rPr>
      </w:pPr>
      <w:r>
        <w:rPr>
          <w:rFonts w:cs="Times New Roman" w:ascii="Times New Roman" w:hAnsi="Times New Roman"/>
          <w:color w:val="000000"/>
          <w:sz w:val="24"/>
          <w:szCs w:val="24"/>
          <w:highlight w:val="green"/>
        </w:rPr>
        <w:t>Основные условия ценообразования изложены в приложении № к настоящим требованиям и являются неотъемлемой частью требований к составлению сметной документации.</w:t>
      </w:r>
    </w:p>
    <w:p>
      <w:pPr>
        <w:pStyle w:val="ConsPlusNormal1"/>
        <w:widowControl/>
        <w:numPr>
          <w:ilvl w:val="0"/>
          <w:numId w:val="23"/>
        </w:numPr>
        <w:tabs>
          <w:tab w:val="clear" w:pos="709"/>
          <w:tab w:val="left" w:pos="1134" w:leader="none"/>
        </w:tabs>
        <w:spacing w:before="40" w:after="40"/>
        <w:ind w:firstLine="567" w:left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</w:rPr>
        <w:t>Использование</w:t>
      </w:r>
      <w:r>
        <w:rPr>
          <w:rFonts w:ascii="Times New Roman" w:hAnsi="Times New Roman"/>
          <w:sz w:val="24"/>
          <w:szCs w:val="24"/>
        </w:rPr>
        <w:t xml:space="preserve"> нормативов ценообразования, не зарегистрированных и не вошедших в ФРСН, </w:t>
      </w:r>
      <w:r>
        <w:rPr>
          <w:rFonts w:ascii="Times New Roman" w:hAnsi="Times New Roman"/>
          <w:b/>
          <w:sz w:val="24"/>
          <w:szCs w:val="24"/>
          <w:u w:val="single"/>
        </w:rPr>
        <w:t>не допускается</w:t>
      </w:r>
      <w:r>
        <w:rPr>
          <w:rFonts w:ascii="Times New Roman" w:hAnsi="Times New Roman"/>
          <w:sz w:val="24"/>
          <w:szCs w:val="24"/>
        </w:rPr>
        <w:t>, кроме случаев, прямо указанных в настоящих требованиях.</w:t>
      </w:r>
    </w:p>
    <w:p>
      <w:pPr>
        <w:pStyle w:val="ConsPlusNormal1"/>
        <w:widowControl/>
        <w:numPr>
          <w:ilvl w:val="0"/>
          <w:numId w:val="23"/>
        </w:numPr>
        <w:tabs>
          <w:tab w:val="clear" w:pos="709"/>
          <w:tab w:val="left" w:pos="1134" w:leader="none"/>
        </w:tabs>
        <w:spacing w:before="40" w:after="40"/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составлении смет руководствоваться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стоимости строительства), с учетом изменений и дополнений, а так же Методикой определения сметной стоимости строительства с применением федеральных единичных расценок и их отдельных составляющих, утверждённой Приказом Министерства строительства и ЖКХ РФ от 08.08.2022г № 648/пр. с учетом изменений и дополнений.</w:t>
      </w:r>
    </w:p>
    <w:p>
      <w:pPr>
        <w:pStyle w:val="ConsPlusNormal1"/>
        <w:widowControl/>
        <w:numPr>
          <w:ilvl w:val="0"/>
          <w:numId w:val="23"/>
        </w:numPr>
        <w:tabs>
          <w:tab w:val="clear" w:pos="709"/>
          <w:tab w:val="left" w:pos="1134" w:leader="none"/>
        </w:tabs>
        <w:spacing w:before="40" w:after="40"/>
        <w:ind w:firstLine="567" w:left="0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составлении смет на ремонт, реконструкцию и техническое перевооружение энергетического оборудования приоритетным является применение сборников «Базовых цен на работы по ремонту энергетического оборудования, адекватных условиям функционирования конкурентного рынка услуг по ремонту и техперевооружению» с учетом дополнений и изменений 1-12 (далее – БЦ), «Методических указаний по формированию смет и калькуляций на ремонт энергооборудования» (СО 34.20.607-2005), разработанных АО «ЦКБ Энергоремонт». Поправочный индекс к Базовым ценам учитывать в размере, не превышающем предельный индекс, установленный для Филиала (ПО) ПАО «РусГидро».</w:t>
      </w:r>
    </w:p>
    <w:p>
      <w:pPr>
        <w:pStyle w:val="Xmsolistparagraph"/>
        <w:numPr>
          <w:ilvl w:val="0"/>
          <w:numId w:val="23"/>
        </w:numPr>
        <w:shd w:val="clear" w:color="auto" w:fill="FFFFFF"/>
        <w:tabs>
          <w:tab w:val="clear" w:pos="709"/>
          <w:tab w:val="left" w:pos="1134" w:leader="none"/>
        </w:tabs>
        <w:spacing w:beforeAutospacing="0" w:before="0" w:afterAutospacing="0" w:after="0"/>
        <w:ind w:firstLine="567" w:left="0"/>
        <w:jc w:val="both"/>
        <w:rPr>
          <w:color w:val="1F497D"/>
          <w:highlight w:val="green"/>
        </w:rPr>
      </w:pPr>
      <w:r>
        <w:rPr>
          <w:color w:val="000000"/>
          <w:highlight w:val="green"/>
        </w:rPr>
        <w:t>Сметная цена материальных ресурсов и (или) оборудования (далее –МТР), закупаемых на территории региона субъекта Российской Федерации,</w:t>
      </w:r>
      <w:r>
        <w:rPr>
          <w:color w:val="1F497D"/>
          <w:highlight w:val="green"/>
        </w:rPr>
        <w:t xml:space="preserve"> </w:t>
      </w:r>
      <w:r>
        <w:rPr>
          <w:color w:val="000000"/>
          <w:highlight w:val="green"/>
        </w:rPr>
        <w:t>определяется в базисном уровне цен по состоянию на 01.01.2022 с использованием ФСБЦ-2022, индексов по группам однородных строительных ресурсов, размещенных во ФГИС ЦС по субъекту Российской Федерации, в котором расположен объект строительства.</w:t>
      </w:r>
    </w:p>
    <w:p>
      <w:pPr>
        <w:pStyle w:val="Normal"/>
        <w:tabs>
          <w:tab w:val="clear" w:pos="709"/>
          <w:tab w:val="left" w:pos="284" w:leader="none"/>
          <w:tab w:val="left" w:pos="1134" w:leader="none"/>
        </w:tabs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</w:t>
      </w:r>
      <w:r>
        <w:rPr>
          <w:rFonts w:ascii="Times New Roman" w:hAnsi="Times New Roman"/>
          <w:i/>
          <w:sz w:val="24"/>
          <w:szCs w:val="24"/>
        </w:rPr>
        <w:t xml:space="preserve">отсутствии </w:t>
      </w:r>
      <w:r>
        <w:rPr>
          <w:rFonts w:ascii="Times New Roman" w:hAnsi="Times New Roman"/>
          <w:sz w:val="24"/>
          <w:szCs w:val="24"/>
        </w:rPr>
        <w:t xml:space="preserve">информации о сметных ценах в ФГИС ЦС и ФССЦ по материальным ресурсам и оборудованию, их сметная цена формируется методами, предусмотренными Методикой ПЦ (методы без использования сметных нормативов) </w:t>
      </w:r>
      <w:r>
        <w:rPr>
          <w:rFonts w:ascii="Times New Roman" w:hAnsi="Times New Roman"/>
          <w:b/>
          <w:color w:val="FF0000"/>
          <w:sz w:val="24"/>
          <w:szCs w:val="24"/>
        </w:rPr>
        <w:t>(включить соответствующие требования Методики ПЦ отдельным приложением)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ConsPlusNormal1"/>
        <w:numPr>
          <w:ilvl w:val="0"/>
          <w:numId w:val="23"/>
        </w:numPr>
        <w:tabs>
          <w:tab w:val="clear" w:pos="709"/>
          <w:tab w:val="left" w:pos="284" w:leader="none"/>
          <w:tab w:val="left" w:pos="1134" w:leader="none"/>
        </w:tabs>
        <w:spacing w:before="40" w:after="40"/>
        <w:ind w:firstLine="567"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>
      <w:pPr>
        <w:pStyle w:val="ListParagraph"/>
        <w:numPr>
          <w:ilvl w:val="0"/>
          <w:numId w:val="23"/>
        </w:numPr>
        <w:tabs>
          <w:tab w:val="left" w:pos="709" w:leader="none"/>
          <w:tab w:val="left" w:pos="1134" w:leader="none"/>
        </w:tabs>
        <w:spacing w:lineRule="auto" w:line="240" w:before="40" w:after="40"/>
        <w:ind w:firstLine="567" w:left="0"/>
        <w:contextualSpacing w:val="false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Затраты на эксплуатацию строительной техники, не учтенной нормами и расценками, включенными в ФРСН, определяются Методами, предусмотренными Методикой ПЦ (методы без использования сметных нормативов) и включаются в Главу 9 ССР</w:t>
      </w:r>
      <w:r>
        <w:rPr>
          <w:rFonts w:ascii="Times New Roman" w:hAnsi="Times New Roman"/>
          <w:b/>
          <w:color w:val="FF0000"/>
          <w:sz w:val="24"/>
          <w:szCs w:val="24"/>
        </w:rPr>
        <w:t>.</w:t>
      </w:r>
    </w:p>
    <w:p>
      <w:pPr>
        <w:pStyle w:val="ConsPlusNormal1"/>
        <w:widowControl/>
        <w:numPr>
          <w:ilvl w:val="0"/>
          <w:numId w:val="23"/>
        </w:numPr>
        <w:tabs>
          <w:tab w:val="clear" w:pos="709"/>
          <w:tab w:val="left" w:pos="567" w:leader="none"/>
          <w:tab w:val="left" w:pos="1134" w:leader="none"/>
        </w:tabs>
        <w:spacing w:before="40" w:after="40"/>
        <w:ind w:firstLine="567" w:left="0"/>
        <w:jc w:val="both"/>
        <w:rPr>
          <w:rFonts w:ascii="Times New Roman" w:hAnsi="Times New Roman" w:cs="Times New Roman"/>
          <w:color w:val="000000"/>
          <w:sz w:val="24"/>
          <w:szCs w:val="24"/>
          <w:highlight w:val="green"/>
        </w:rPr>
      </w:pPr>
      <w:r>
        <w:rPr>
          <w:rFonts w:cs="Times New Roman" w:ascii="Times New Roman" w:hAnsi="Times New Roman"/>
          <w:color w:val="000000"/>
          <w:sz w:val="24"/>
          <w:szCs w:val="24"/>
          <w:highlight w:val="green"/>
        </w:rPr>
        <w:t>При составлении сметной документации корректировка наименования работ, принятой расценки недопустима. При необходимости, вся дополнительная информация указывается в скобках, после указания наименования расценки (</w:t>
      </w:r>
      <w:r>
        <w:rPr>
          <w:rFonts w:cs="Times New Roman" w:ascii="Times New Roman" w:hAnsi="Times New Roman"/>
          <w:i/>
          <w:color w:val="000000"/>
          <w:sz w:val="24"/>
          <w:szCs w:val="24"/>
          <w:highlight w:val="green"/>
        </w:rPr>
        <w:t>например, Разборка, очистка, замена уплотнения, сборка крышки ванны подшипника: диаметр шейки вала свыше 0.95 до 1,5 м (диаметр шейки вала – 1.3 м), л</w:t>
      </w:r>
      <w:r>
        <w:rPr>
          <w:rFonts w:cs="Times New Roman" w:ascii="Times New Roman" w:hAnsi="Times New Roman"/>
          <w:color w:val="000000"/>
          <w:sz w:val="24"/>
          <w:szCs w:val="24"/>
          <w:highlight w:val="green"/>
        </w:rPr>
        <w:t xml:space="preserve">ибо указывается в примечании, через дополнительную информацию </w:t>
      </w:r>
      <w:r>
        <w:rPr>
          <w:rFonts w:cs="Times New Roman" w:ascii="Times New Roman" w:hAnsi="Times New Roman"/>
          <w:color w:val="000000"/>
          <w:sz w:val="24"/>
          <w:szCs w:val="24"/>
          <w:highlight w:val="green"/>
          <w:lang w:val="en-US"/>
        </w:rPr>
        <w:t>(в ПК Гранд-Смета).</w:t>
      </w:r>
    </w:p>
    <w:p>
      <w:pPr>
        <w:pStyle w:val="ListParagraph"/>
        <w:numPr>
          <w:ilvl w:val="0"/>
          <w:numId w:val="23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firstLine="567" w:left="0"/>
        <w:contextualSpacing w:val="false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 формировании сметной стоимости в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</w:p>
    <w:p>
      <w:pPr>
        <w:pStyle w:val="ListParagraph"/>
        <w:numPr>
          <w:ilvl w:val="0"/>
          <w:numId w:val="23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firstLine="567" w:left="0"/>
        <w:contextualSpacing w:val="false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ListParagraph"/>
        <w:numPr>
          <w:ilvl w:val="0"/>
          <w:numId w:val="23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firstLine="567" w:left="0"/>
        <w:contextualSpacing w:val="false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>
      <w:pPr>
        <w:pStyle w:val="ListParagraph"/>
        <w:numPr>
          <w:ilvl w:val="0"/>
          <w:numId w:val="23"/>
        </w:numPr>
        <w:tabs>
          <w:tab w:val="left" w:pos="284" w:leader="none"/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firstLine="567" w:left="0"/>
        <w:contextualSpacing w:val="false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 внесении изменений в сметную документацию разрабатывается сводный сметный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дополнительных). Локальные сметные расчеты (сметы) разрабатываются отдельно на исключаемые и дополнительные объемы работ.</w:t>
      </w:r>
    </w:p>
    <w:p>
      <w:pPr>
        <w:pStyle w:val="ListParagraph"/>
        <w:numPr>
          <w:ilvl w:val="0"/>
          <w:numId w:val="23"/>
        </w:numPr>
        <w:tabs>
          <w:tab w:val="left" w:pos="284" w:leader="none"/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firstLine="567" w:left="0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color w:val="000000"/>
          <w:sz w:val="24"/>
          <w:szCs w:val="24"/>
        </w:rPr>
        <w:t>ЛСР</w:t>
      </w:r>
      <w:r>
        <w:rPr>
          <w:rFonts w:ascii="Times New Roman" w:hAnsi="Times New Roman"/>
          <w:sz w:val="24"/>
          <w:szCs w:val="24"/>
        </w:rPr>
        <w:t xml:space="preserve">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>
      <w:pPr>
        <w:pStyle w:val="ListParagraph"/>
        <w:numPr>
          <w:ilvl w:val="0"/>
          <w:numId w:val="23"/>
        </w:numPr>
        <w:tabs>
          <w:tab w:val="left" w:pos="284" w:leader="none"/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firstLine="567" w:left="0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color w:val="000000"/>
          <w:sz w:val="24"/>
          <w:szCs w:val="24"/>
        </w:rPr>
        <w:t>ЛСР</w:t>
      </w:r>
      <w:r>
        <w:rPr>
          <w:rFonts w:ascii="Times New Roman" w:hAnsi="Times New Roman"/>
          <w:sz w:val="24"/>
          <w:szCs w:val="24"/>
        </w:rPr>
        <w:t xml:space="preserve"> (ЛС) указывать величину сметной прибыли по видам строительных, ремонтно-строительных, монтажных и пусконаладочных работ, на основании актуальных нормативных документов, внесенных в ФРСН.</w:t>
      </w:r>
    </w:p>
    <w:p>
      <w:pPr>
        <w:pStyle w:val="ListParagraph"/>
        <w:numPr>
          <w:ilvl w:val="0"/>
          <w:numId w:val="23"/>
        </w:numPr>
        <w:tabs>
          <w:tab w:val="left" w:pos="284" w:leader="none"/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firstLine="567" w:left="0"/>
        <w:contextualSpacing w:val="false"/>
        <w:jc w:val="both"/>
        <w:rPr>
          <w:rFonts w:ascii="Times New Roman" w:hAnsi="Times New Roman"/>
          <w:color w:val="000000"/>
          <w:sz w:val="24"/>
          <w:szCs w:val="24"/>
          <w:highlight w:val="green"/>
        </w:rPr>
      </w:pPr>
      <w:r>
        <w:rPr>
          <w:rFonts w:ascii="Times New Roman" w:hAnsi="Times New Roman"/>
          <w:color w:val="000000"/>
          <w:sz w:val="24"/>
          <w:szCs w:val="24"/>
          <w:highlight w:val="green"/>
        </w:rPr>
        <w:t>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 При этом, понижающий коэффициент, указывается в размере не более 7-ми знаков после запятой.</w:t>
      </w:r>
    </w:p>
    <w:p>
      <w:pPr>
        <w:pStyle w:val="ListParagraph"/>
        <w:numPr>
          <w:ilvl w:val="0"/>
          <w:numId w:val="23"/>
        </w:numPr>
        <w:tabs>
          <w:tab w:val="left" w:pos="284" w:leader="none"/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firstLine="567" w:left="0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Сметная</w:t>
      </w:r>
      <w:r>
        <w:rPr>
          <w:rFonts w:ascii="Times New Roman" w:hAnsi="Times New Roman"/>
          <w:sz w:val="24"/>
          <w:szCs w:val="24"/>
        </w:rPr>
        <w:t xml:space="preserve"> стоимость пусконаладочных работ определяется на основании утвержденных 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>
        <w:rPr>
          <w:rFonts w:ascii="Times New Roman" w:hAnsi="Times New Roman"/>
          <w:sz w:val="24"/>
          <w:szCs w:val="24"/>
          <w:lang w:val="en-US"/>
        </w:rPr>
        <w:t>VII</w:t>
      </w:r>
      <w:r>
        <w:rPr>
          <w:rFonts w:ascii="Times New Roman" w:hAnsi="Times New Roman"/>
          <w:sz w:val="24"/>
          <w:szCs w:val="24"/>
        </w:rPr>
        <w:t xml:space="preserve">. Методики определения сметной стоимости строительства: </w:t>
      </w:r>
    </w:p>
    <w:p>
      <w:pPr>
        <w:pStyle w:val="ConsPlusNormal1"/>
        <w:numPr>
          <w:ilvl w:val="0"/>
          <w:numId w:val="19"/>
        </w:numPr>
        <w:tabs>
          <w:tab w:val="left" w:pos="709" w:leader="none"/>
          <w:tab w:val="left" w:pos="1134" w:leader="none"/>
        </w:tabs>
        <w:spacing w:before="40" w:after="40"/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ССР. В соответствии с заданием Заказчика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>
      <w:pPr>
        <w:pStyle w:val="ConsPlusNormal1"/>
        <w:numPr>
          <w:ilvl w:val="0"/>
          <w:numId w:val="19"/>
        </w:numPr>
        <w:tabs>
          <w:tab w:val="left" w:pos="709" w:leader="none"/>
          <w:tab w:val="left" w:pos="1134" w:leader="none"/>
        </w:tabs>
        <w:spacing w:before="40" w:after="40"/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Пусконаладочные работы «под нагрузкой» для объектов производственного и непроизводственного назначения, связанных с получением дохода от реализации товаров (услуг) 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заказчиком.</w:t>
      </w:r>
    </w:p>
    <w:p>
      <w:pPr>
        <w:pStyle w:val="ConsPlusNormal1"/>
        <w:tabs>
          <w:tab w:val="left" w:pos="709" w:leader="none"/>
          <w:tab w:val="left" w:pos="1134" w:leader="none"/>
        </w:tabs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Данные работы оформляются отдельными локальными сметами в соответствии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с Приложением № 1.5 к Требованиям по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 и включаются в ССР. </w:t>
      </w:r>
    </w:p>
    <w:p>
      <w:pPr>
        <w:pStyle w:val="ListParagraph"/>
        <w:numPr>
          <w:ilvl w:val="0"/>
          <w:numId w:val="23"/>
        </w:numPr>
        <w:tabs>
          <w:tab w:val="clear" w:pos="709"/>
          <w:tab w:val="left" w:pos="1134" w:leader="none"/>
        </w:tabs>
        <w:spacing w:lineRule="auto" w:line="240" w:before="40" w:after="40"/>
        <w:ind w:firstLine="567" w:left="0"/>
        <w:contextualSpacing w:val="false"/>
        <w:jc w:val="both"/>
        <w:rPr>
          <w:rFonts w:ascii="Times New Roman" w:hAnsi="Times New Roman"/>
          <w:sz w:val="24"/>
          <w:szCs w:val="24"/>
          <w:highlight w:val="green"/>
        </w:rPr>
      </w:pPr>
      <w:r>
        <w:rPr>
          <w:rFonts w:ascii="Times New Roman" w:hAnsi="Times New Roman"/>
          <w:sz w:val="24"/>
          <w:szCs w:val="24"/>
          <w:highlight w:val="green"/>
        </w:rPr>
        <w:t>В ЛС на ПНР коэффициенты, учитывающие условия производства работ, начисляются только на те этапы работ, которые фактически производятся в данных условиях. Долю работ в общих затратах, для начисления коэффициента, принимать в соответствии со структурой пусконаладочных работ, приведенной в Общих положениях сборников на ПНР.</w:t>
      </w:r>
    </w:p>
    <w:p>
      <w:pPr>
        <w:pStyle w:val="ListParagraph"/>
        <w:numPr>
          <w:ilvl w:val="0"/>
          <w:numId w:val="23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firstLine="567" w:left="0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Стоимость</w:t>
      </w:r>
      <w:r>
        <w:rPr>
          <w:rFonts w:ascii="Times New Roman" w:hAnsi="Times New Roman"/>
          <w:sz w:val="24"/>
          <w:szCs w:val="24"/>
        </w:rPr>
        <w:t xml:space="preserve"> шеф - монтажных и шеф - наладочных работ включается в сметную стоимость оборудования </w:t>
      </w:r>
      <w:r>
        <w:rPr>
          <w:rFonts w:ascii="Times New Roman" w:hAnsi="Times New Roman"/>
          <w:sz w:val="24"/>
          <w:szCs w:val="24"/>
          <w:highlight w:val="green"/>
        </w:rPr>
        <w:t>либо оформляется</w:t>
      </w:r>
      <w:r>
        <w:rPr>
          <w:rFonts w:ascii="Times New Roman" w:hAnsi="Times New Roman"/>
          <w:sz w:val="24"/>
          <w:szCs w:val="24"/>
        </w:rPr>
        <w:t xml:space="preserve"> отдельными расчетами. </w:t>
      </w:r>
    </w:p>
    <w:p>
      <w:pPr>
        <w:pStyle w:val="Normal"/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</w:t>
      </w:r>
      <w:r>
        <w:rPr>
          <w:rFonts w:ascii="Times New Roman" w:hAnsi="Times New Roman"/>
          <w:color w:val="000000"/>
          <w:sz w:val="24"/>
          <w:szCs w:val="24"/>
        </w:rPr>
        <w:t>(образец формы расчета представлен в Приложении № 2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перевооружению).</w:t>
      </w:r>
      <w:r>
        <w:rPr>
          <w:rFonts w:ascii="Times New Roman" w:hAnsi="Times New Roman"/>
          <w:sz w:val="24"/>
          <w:szCs w:val="24"/>
        </w:rPr>
        <w:t xml:space="preserve"> Участник (подрядчик, контрагент) представляет смету на шеф-монтажные работы составленную в соответствии с графиком выполнения работ.</w:t>
      </w:r>
    </w:p>
    <w:p>
      <w:pPr>
        <w:pStyle w:val="ListParagraph"/>
        <w:numPr>
          <w:ilvl w:val="0"/>
          <w:numId w:val="23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firstLine="567" w:left="0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>
      <w:pPr>
        <w:pStyle w:val="ListParagraph"/>
        <w:numPr>
          <w:ilvl w:val="0"/>
          <w:numId w:val="23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firstLine="567" w:left="0"/>
        <w:contextualSpacing w:val="false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color w:val="000000"/>
          <w:sz w:val="24"/>
          <w:szCs w:val="24"/>
        </w:rPr>
        <w:t>локальных</w:t>
      </w:r>
      <w:r>
        <w:rPr>
          <w:rFonts w:ascii="Times New Roman" w:hAnsi="Times New Roman"/>
          <w:sz w:val="24"/>
          <w:szCs w:val="24"/>
        </w:rPr>
        <w:t xml:space="preserve"> сметных расчетах построчные и итоговые суммы </w:t>
      </w:r>
      <w:r>
        <w:rPr>
          <w:rFonts w:ascii="Times New Roman" w:hAnsi="Times New Roman"/>
          <w:b/>
          <w:sz w:val="24"/>
          <w:szCs w:val="24"/>
          <w:u w:val="single"/>
        </w:rPr>
        <w:t>округлять:</w:t>
      </w:r>
    </w:p>
    <w:p>
      <w:pPr>
        <w:pStyle w:val="ConsPlusNormal1"/>
        <w:numPr>
          <w:ilvl w:val="0"/>
          <w:numId w:val="19"/>
        </w:numPr>
        <w:tabs>
          <w:tab w:val="left" w:pos="709" w:leader="none"/>
          <w:tab w:val="left" w:pos="1134" w:leader="none"/>
        </w:tabs>
        <w:spacing w:before="40" w:after="40"/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базисно-индексном методе до двух знаков после запятой (до копеек)</w:t>
      </w:r>
      <w:r>
        <w:rPr>
          <w:rFonts w:cs="Times New Roman" w:ascii="Times New Roman" w:hAnsi="Times New Roman"/>
          <w:b/>
          <w:sz w:val="24"/>
          <w:szCs w:val="24"/>
        </w:rPr>
        <w:t>.</w:t>
      </w:r>
    </w:p>
    <w:p>
      <w:pPr>
        <w:pStyle w:val="ConsPlusNormal1"/>
        <w:numPr>
          <w:ilvl w:val="0"/>
          <w:numId w:val="19"/>
        </w:numPr>
        <w:tabs>
          <w:tab w:val="left" w:pos="709" w:leader="none"/>
          <w:tab w:val="left" w:pos="1134" w:leader="none"/>
        </w:tabs>
        <w:spacing w:before="40" w:after="40"/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при ресурсно-индексном и ресурсным методах, а также в сметных расчетах на отдельные виды затрат - в рублях </w:t>
      </w:r>
      <w:r>
        <w:rPr>
          <w:rFonts w:cs="Times New Roman" w:ascii="Times New Roman" w:hAnsi="Times New Roman"/>
          <w:b/>
          <w:sz w:val="24"/>
          <w:szCs w:val="24"/>
        </w:rPr>
        <w:t>до целых единиц</w:t>
      </w:r>
      <w:r>
        <w:rPr>
          <w:rFonts w:cs="Times New Roman" w:ascii="Times New Roman" w:hAnsi="Times New Roman"/>
          <w:sz w:val="24"/>
          <w:szCs w:val="24"/>
        </w:rPr>
        <w:t>;</w:t>
      </w:r>
    </w:p>
    <w:p>
      <w:pPr>
        <w:pStyle w:val="ConsPlusNormal1"/>
        <w:numPr>
          <w:ilvl w:val="0"/>
          <w:numId w:val="19"/>
        </w:numPr>
        <w:tabs>
          <w:tab w:val="left" w:pos="709" w:leader="none"/>
          <w:tab w:val="left" w:pos="1134" w:leader="none"/>
        </w:tabs>
        <w:spacing w:before="40" w:after="40"/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объектных сметных расчетах (сметах), сводном сметном расчете и сводке затрат - в рублях с до двух знаков после запятой. Величину НДС не указывать.</w:t>
      </w:r>
    </w:p>
    <w:p>
      <w:pPr>
        <w:pStyle w:val="ListParagraph"/>
        <w:numPr>
          <w:ilvl w:val="0"/>
          <w:numId w:val="23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firstLine="567" w:left="0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Выходные</w:t>
      </w:r>
      <w:r>
        <w:rPr>
          <w:rFonts w:ascii="Times New Roman" w:hAnsi="Times New Roman"/>
          <w:sz w:val="24"/>
          <w:szCs w:val="24"/>
        </w:rPr>
        <w:t xml:space="preserve"> формы сметных расчетов должны соответствовать Образцу согласно Приложению 1.5.</w:t>
      </w:r>
    </w:p>
    <w:p>
      <w:pPr>
        <w:pStyle w:val="ListParagraph"/>
        <w:numPr>
          <w:ilvl w:val="0"/>
          <w:numId w:val="23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firstLine="567" w:left="0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>
      <w:pPr>
        <w:pStyle w:val="ListParagraph"/>
        <w:numPr>
          <w:ilvl w:val="0"/>
          <w:numId w:val="23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firstLine="567" w:left="0"/>
        <w:contextualSpacing w:val="false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 наличии двух и более сметных расчетов составлять ССР в текущем уровне цен </w:t>
      </w:r>
      <w:r>
        <w:rPr>
          <w:rFonts w:ascii="Times New Roman" w:hAnsi="Times New Roman"/>
          <w:sz w:val="24"/>
          <w:szCs w:val="24"/>
        </w:rPr>
        <w:t xml:space="preserve">по форме </w:t>
      </w:r>
      <w:r>
        <w:rPr>
          <w:rFonts w:ascii="Times New Roman" w:hAnsi="Times New Roman"/>
          <w:color w:val="000000"/>
          <w:sz w:val="24"/>
          <w:szCs w:val="24"/>
        </w:rPr>
        <w:t>Приложения № 1.1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перевооружению.</w:t>
      </w:r>
    </w:p>
    <w:p>
      <w:pPr>
        <w:pStyle w:val="ConsPlusNormal1"/>
        <w:widowControl/>
        <w:numPr>
          <w:ilvl w:val="0"/>
          <w:numId w:val="23"/>
        </w:numPr>
        <w:tabs>
          <w:tab w:val="clear" w:pos="709"/>
          <w:tab w:val="left" w:pos="1134" w:leader="none"/>
        </w:tabs>
        <w:ind w:firstLine="567"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случае заключений дополнительных соглашений к договору (далее - д/с), ССР необходимо выполнять в накопительной форме с учетом </w:t>
      </w:r>
      <w:r>
        <w:rPr>
          <w:rFonts w:cs="Times New Roman" w:ascii="Times New Roman" w:hAnsi="Times New Roman"/>
          <w:color w:val="000000"/>
          <w:sz w:val="24"/>
          <w:szCs w:val="24"/>
        </w:rPr>
        <w:t>ЛСР (</w:t>
      </w:r>
      <w:r>
        <w:rPr>
          <w:rFonts w:ascii="Times New Roman" w:hAnsi="Times New Roman"/>
          <w:color w:val="000000"/>
          <w:sz w:val="24"/>
          <w:szCs w:val="24"/>
        </w:rPr>
        <w:t xml:space="preserve">ЛС) к основному договору и ко всем заключенным д/с к нему. В итогах ССР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 очередного д/с и стоимостью основного договора. Форма ССР с учетом заключения д/с к договору приведена в Приложении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№ 1.2 к </w:t>
      </w:r>
      <w:r>
        <w:rPr>
          <w:rFonts w:ascii="Times New Roman" w:hAnsi="Times New Roman"/>
          <w:color w:val="000000"/>
          <w:sz w:val="24"/>
          <w:szCs w:val="24"/>
        </w:rPr>
        <w:t xml:space="preserve">Требованиям к оформлению и составлению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сметной документации на выполнение строительно-монтажных работ по программе ремонтов, реконструкции и техническому перевооружению. </w:t>
      </w:r>
    </w:p>
    <w:p>
      <w:pPr>
        <w:pStyle w:val="ConsPlusNormal1"/>
        <w:widowControl/>
        <w:numPr>
          <w:ilvl w:val="0"/>
          <w:numId w:val="23"/>
        </w:numPr>
        <w:tabs>
          <w:tab w:val="clear" w:pos="709"/>
          <w:tab w:val="left" w:pos="1134" w:leader="none"/>
        </w:tabs>
        <w:ind w:firstLine="567"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к Требованиям </w:t>
      </w:r>
      <w:r>
        <w:rPr>
          <w:rFonts w:ascii="Times New Roman" w:hAnsi="Times New Roman"/>
          <w:color w:val="000000"/>
          <w:sz w:val="24"/>
          <w:szCs w:val="24"/>
        </w:rPr>
        <w:t xml:space="preserve">к оформлению и составлению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сметной документации на выполнение строительно-монтажных работ по программе ремонтов, реконструкции и техническому перевооружению. </w:t>
      </w:r>
    </w:p>
    <w:p>
      <w:pPr>
        <w:pStyle w:val="ConsPlusNormal1"/>
        <w:widowControl/>
        <w:numPr>
          <w:ilvl w:val="0"/>
          <w:numId w:val="23"/>
        </w:numPr>
        <w:tabs>
          <w:tab w:val="clear" w:pos="709"/>
          <w:tab w:val="left" w:pos="1134" w:leader="none"/>
        </w:tabs>
        <w:ind w:firstLine="567"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ЛС являются приложениями к ССР. Нумерация приложений указывается по мере включения ЛС в ССР в накопительной форме - по порядку.</w:t>
      </w:r>
    </w:p>
    <w:p>
      <w:pPr>
        <w:pStyle w:val="ConsPlusNormal1"/>
        <w:widowControl/>
        <w:numPr>
          <w:ilvl w:val="0"/>
          <w:numId w:val="23"/>
        </w:numPr>
        <w:tabs>
          <w:tab w:val="clear" w:pos="709"/>
          <w:tab w:val="left" w:pos="1134" w:leader="none"/>
        </w:tabs>
        <w:ind w:firstLine="567"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Разнесение затрат (сумм ЛС) по графам и главам ССР осуществлять в соответствии с указаниями Методики определения сметной стоимости строительства.</w:t>
      </w:r>
    </w:p>
    <w:p>
      <w:pPr>
        <w:pStyle w:val="ConsPlusNormal1"/>
        <w:widowControl/>
        <w:numPr>
          <w:ilvl w:val="0"/>
          <w:numId w:val="23"/>
        </w:numPr>
        <w:tabs>
          <w:tab w:val="clear" w:pos="709"/>
          <w:tab w:val="left" w:pos="1134" w:leader="none"/>
        </w:tabs>
        <w:ind w:firstLine="567"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ССР, построчные и итоговые суммы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указывать </w:t>
      </w:r>
      <w:r>
        <w:rPr>
          <w:rFonts w:ascii="Times New Roman" w:hAnsi="Times New Roman"/>
          <w:color w:val="000000"/>
          <w:sz w:val="24"/>
          <w:szCs w:val="24"/>
        </w:rPr>
        <w:t>в рублях с округлением до двух знаков после запятой. Величину НДС не указывать.</w:t>
      </w:r>
    </w:p>
    <w:p>
      <w:pPr>
        <w:pStyle w:val="ConsPlusNormal1"/>
        <w:widowControl/>
        <w:numPr>
          <w:ilvl w:val="0"/>
          <w:numId w:val="23"/>
        </w:numPr>
        <w:tabs>
          <w:tab w:val="clear" w:pos="709"/>
          <w:tab w:val="left" w:pos="1134" w:leader="none"/>
        </w:tabs>
        <w:ind w:firstLine="567"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>
      <w:pPr>
        <w:pStyle w:val="ConsPlusNormal1"/>
        <w:widowControl/>
        <w:numPr>
          <w:ilvl w:val="0"/>
          <w:numId w:val="23"/>
        </w:numPr>
        <w:tabs>
          <w:tab w:val="clear" w:pos="709"/>
          <w:tab w:val="left" w:pos="1134" w:leader="none"/>
        </w:tabs>
        <w:ind w:firstLine="567" w:left="0"/>
        <w:jc w:val="both"/>
        <w:rPr>
          <w:rFonts w:ascii="Times New Roman" w:hAnsi="Times New Roman"/>
          <w:color w:val="000000"/>
          <w:sz w:val="24"/>
          <w:szCs w:val="24"/>
          <w:highlight w:val="green"/>
        </w:rPr>
      </w:pPr>
      <w:r>
        <w:rPr>
          <w:rFonts w:ascii="Times New Roman" w:hAnsi="Times New Roman"/>
          <w:color w:val="000000"/>
          <w:sz w:val="24"/>
          <w:szCs w:val="24"/>
          <w:highlight w:val="green"/>
        </w:rPr>
        <w:t>В случае если договором определена только предельная цена, то в ССР указываются составляющие стоимости в соответствии с договором.</w:t>
      </w:r>
    </w:p>
    <w:p>
      <w:pPr>
        <w:pStyle w:val="ListParagraph"/>
        <w:numPr>
          <w:ilvl w:val="0"/>
          <w:numId w:val="23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firstLine="567" w:left="0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Сметная документация должна быть представлена в двух вариантах:</w:t>
      </w:r>
    </w:p>
    <w:p>
      <w:pPr>
        <w:pStyle w:val="ConsPlusNormal1"/>
        <w:numPr>
          <w:ilvl w:val="0"/>
          <w:numId w:val="19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 бумажном носителе (количество указано в конкурсной документации) Образец ЛСР в соответствии с приложением № 1.5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>
      <w:pPr>
        <w:pStyle w:val="ConsPlusNormal1"/>
        <w:numPr>
          <w:ilvl w:val="0"/>
          <w:numId w:val="19"/>
        </w:numPr>
        <w:tabs>
          <w:tab w:val="left" w:pos="709" w:leader="none"/>
          <w:tab w:val="left" w:pos="851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 электронном носителе (в формате «xml» ПК «Гранд-Смета», «Excel», «pdf»), полностью соответствующему, бумажному варианту. Сметная 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</w:p>
    <w:p>
      <w:pPr>
        <w:pStyle w:val="Normal"/>
        <w:spacing w:lineRule="auto" w:line="240" w:before="0" w:after="0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sectPr>
          <w:footerReference w:type="default" r:id="rId13"/>
          <w:footerReference w:type="first" r:id="rId14"/>
          <w:footnotePr>
            <w:numFmt w:val="decimal"/>
            <w:numRestart w:val="eachSect"/>
          </w:footnotePr>
          <w:type w:val="nextPage"/>
          <w:pgSz w:w="11906" w:h="16838"/>
          <w:pgMar w:left="1276" w:right="707" w:gutter="0" w:header="0" w:top="851" w:footer="709" w:bottom="766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  <w:r>
        <w:br w:type="page"/>
      </w:r>
    </w:p>
    <w:p>
      <w:pPr>
        <w:pStyle w:val="ListParagraph"/>
        <w:spacing w:lineRule="auto" w:line="240" w:before="0" w:after="0"/>
        <w:ind w:left="928" w:right="666"/>
        <w:contextualSpacing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Приложение №1.1 </w:t>
      </w:r>
    </w:p>
    <w:p>
      <w:pPr>
        <w:pStyle w:val="ConsPlusNormal1"/>
        <w:ind w:hanging="0" w:left="928" w:right="666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к Требованиям к оформлению и составлению сметной </w:t>
      </w:r>
    </w:p>
    <w:p>
      <w:pPr>
        <w:pStyle w:val="ConsPlusNormal1"/>
        <w:ind w:hanging="0" w:left="928" w:right="666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документации на выполнение работ по программе </w:t>
      </w:r>
    </w:p>
    <w:p>
      <w:pPr>
        <w:pStyle w:val="ConsPlusNormal1"/>
        <w:ind w:hanging="0" w:left="928" w:right="666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ремонтов, реконструкции и техническому перевооружению  </w:t>
      </w:r>
    </w:p>
    <w:tbl>
      <w:tblPr>
        <w:tblW w:w="1583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238"/>
        <w:gridCol w:w="73"/>
        <w:gridCol w:w="1635"/>
        <w:gridCol w:w="583"/>
        <w:gridCol w:w="2842"/>
        <w:gridCol w:w="105"/>
        <w:gridCol w:w="12"/>
        <w:gridCol w:w="1525"/>
        <w:gridCol w:w="130"/>
        <w:gridCol w:w="14"/>
        <w:gridCol w:w="1677"/>
        <w:gridCol w:w="68"/>
        <w:gridCol w:w="13"/>
        <w:gridCol w:w="1840"/>
        <w:gridCol w:w="12"/>
        <w:gridCol w:w="34"/>
        <w:gridCol w:w="1930"/>
        <w:gridCol w:w="14"/>
        <w:gridCol w:w="293"/>
        <w:gridCol w:w="1667"/>
        <w:gridCol w:w="10"/>
        <w:gridCol w:w="117"/>
      </w:tblGrid>
      <w:tr>
        <w:trPr>
          <w:trHeight w:val="312" w:hRule="atLeast"/>
        </w:trPr>
        <w:tc>
          <w:tcPr>
            <w:tcW w:w="3529" w:type="dxa"/>
            <w:gridSpan w:val="4"/>
            <w:tcBorders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ОБРАЗЕЦ</w:t>
            </w:r>
          </w:p>
        </w:tc>
        <w:tc>
          <w:tcPr>
            <w:tcW w:w="2947" w:type="dxa"/>
            <w:gridSpan w:val="2"/>
            <w:tcBorders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tcBorders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59" w:type="dxa"/>
            <w:gridSpan w:val="3"/>
            <w:tcBorders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853" w:type="dxa"/>
            <w:gridSpan w:val="2"/>
            <w:tcBorders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950" w:type="dxa"/>
            <w:gridSpan w:val="6"/>
            <w:tcBorders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__ от ______</w:t>
            </w:r>
          </w:p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 Договору № _________ от ______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3529" w:type="dxa"/>
            <w:gridSpan w:val="4"/>
            <w:tcBorders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СОГЛАСОВАНО:</w:t>
            </w:r>
          </w:p>
        </w:tc>
        <w:tc>
          <w:tcPr>
            <w:tcW w:w="2947" w:type="dxa"/>
            <w:gridSpan w:val="2"/>
            <w:tcBorders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tcBorders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59" w:type="dxa"/>
            <w:gridSpan w:val="3"/>
            <w:tcBorders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803" w:type="dxa"/>
            <w:gridSpan w:val="8"/>
            <w:tcBorders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УТВЕРЖДАЮ: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3529" w:type="dxa"/>
            <w:gridSpan w:val="4"/>
            <w:tcBorders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___________________ФИО</w:t>
            </w:r>
          </w:p>
        </w:tc>
        <w:tc>
          <w:tcPr>
            <w:tcW w:w="2947" w:type="dxa"/>
            <w:gridSpan w:val="2"/>
            <w:tcBorders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tcBorders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59" w:type="dxa"/>
            <w:gridSpan w:val="3"/>
            <w:tcBorders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803" w:type="dxa"/>
            <w:gridSpan w:val="8"/>
            <w:tcBorders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___________________ФИО       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6488" w:type="dxa"/>
            <w:gridSpan w:val="7"/>
            <w:tcBorders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"_______" _____________ 20___ г.</w:t>
            </w:r>
          </w:p>
        </w:tc>
        <w:tc>
          <w:tcPr>
            <w:tcW w:w="1669" w:type="dxa"/>
            <w:gridSpan w:val="3"/>
            <w:tcBorders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58" w:type="dxa"/>
            <w:gridSpan w:val="3"/>
            <w:tcBorders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800" w:type="dxa"/>
            <w:gridSpan w:val="8"/>
            <w:tcBorders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"______" ____________________ 20__ г.</w:t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65" w:hRule="atLeast"/>
        </w:trPr>
        <w:tc>
          <w:tcPr>
            <w:tcW w:w="1238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47" w:type="dxa"/>
            <w:gridSpan w:val="2"/>
            <w:tcBorders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255" w:type="dxa"/>
            <w:gridSpan w:val="11"/>
            <w:tcBorders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Сводный сметный расчет в сумме:______</w:t>
            </w:r>
          </w:p>
        </w:tc>
        <w:tc>
          <w:tcPr>
            <w:tcW w:w="1974" w:type="dxa"/>
            <w:gridSpan w:val="3"/>
            <w:tcBorders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 без НДС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238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47" w:type="dxa"/>
            <w:gridSpan w:val="2"/>
            <w:tcBorders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279" w:type="dxa"/>
            <w:gridSpan w:val="8"/>
            <w:tcBorders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СВОДНЫЙ СМЕТНЫЙ РАСЧЕТ </w:t>
            </w:r>
          </w:p>
        </w:tc>
        <w:tc>
          <w:tcPr>
            <w:tcW w:w="1976" w:type="dxa"/>
            <w:gridSpan w:val="3"/>
            <w:tcBorders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74" w:type="dxa"/>
            <w:gridSpan w:val="3"/>
            <w:tcBorders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108" w:hRule="atLeast"/>
        </w:trPr>
        <w:tc>
          <w:tcPr>
            <w:tcW w:w="1238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vAlign w:val="bottom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202" w:type="dxa"/>
            <w:gridSpan w:val="13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974" w:type="dxa"/>
            <w:gridSpan w:val="3"/>
            <w:tcBorders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vAlign w:val="bottom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47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279" w:type="dxa"/>
            <w:gridSpan w:val="8"/>
            <w:tcBorders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(наименование стройки)</w:t>
            </w:r>
          </w:p>
        </w:tc>
        <w:tc>
          <w:tcPr>
            <w:tcW w:w="1976" w:type="dxa"/>
            <w:gridSpan w:val="3"/>
            <w:tcBorders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74" w:type="dxa"/>
            <w:gridSpan w:val="3"/>
            <w:tcBorders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677" w:type="dxa"/>
            <w:gridSpan w:val="12"/>
            <w:tcBorders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Составлен в ценах, соответствующих периоду выполнения работ по договору</w:t>
            </w:r>
          </w:p>
        </w:tc>
        <w:tc>
          <w:tcPr>
            <w:tcW w:w="1852" w:type="dxa"/>
            <w:gridSpan w:val="2"/>
            <w:tcBorders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78" w:type="dxa"/>
            <w:gridSpan w:val="3"/>
            <w:tcBorders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70" w:type="dxa"/>
            <w:gridSpan w:val="3"/>
            <w:tcBorders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229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Номера сметных расчетов и смет</w:t>
            </w:r>
          </w:p>
        </w:tc>
        <w:tc>
          <w:tcPr>
            <w:tcW w:w="29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глав, объектов, работ и затрат</w:t>
            </w:r>
          </w:p>
        </w:tc>
        <w:tc>
          <w:tcPr>
            <w:tcW w:w="7255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руб.</w:t>
            </w:r>
          </w:p>
        </w:tc>
        <w:tc>
          <w:tcPr>
            <w:tcW w:w="197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сметная стоимость, руб.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47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строительных работ</w:t>
            </w:r>
          </w:p>
        </w:tc>
        <w:tc>
          <w:tcPr>
            <w:tcW w:w="1759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853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оборудования, мебели, инвентаря</w:t>
            </w:r>
          </w:p>
        </w:tc>
        <w:tc>
          <w:tcPr>
            <w:tcW w:w="1976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прочих</w:t>
            </w:r>
          </w:p>
        </w:tc>
        <w:tc>
          <w:tcPr>
            <w:tcW w:w="1974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69" w:hRule="atLeast"/>
        </w:trPr>
        <w:tc>
          <w:tcPr>
            <w:tcW w:w="12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47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59" w:type="dxa"/>
            <w:gridSpan w:val="3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853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76" w:type="dxa"/>
            <w:gridSpan w:val="3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74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91" w:type="dxa"/>
            <w:gridSpan w:val="3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947" w:type="dxa"/>
            <w:gridSpan w:val="2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67" w:type="dxa"/>
            <w:gridSpan w:val="3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59" w:type="dxa"/>
            <w:gridSpan w:val="3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853" w:type="dxa"/>
            <w:gridSpan w:val="2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976" w:type="dxa"/>
            <w:gridSpan w:val="3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974" w:type="dxa"/>
            <w:gridSpan w:val="3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71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Глава 2. Основные объекты строительства</w:t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91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02-01-01</w:t>
            </w:r>
          </w:p>
        </w:tc>
        <w:tc>
          <w:tcPr>
            <w:tcW w:w="2947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…</w:t>
            </w:r>
          </w:p>
        </w:tc>
        <w:tc>
          <w:tcPr>
            <w:tcW w:w="1667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6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86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Главе 2. "Основные объекты строительства"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8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2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8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0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Главам 1-12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8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2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8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0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1571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Непредвиденные затраты</w:t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91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947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7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6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с учетом "Непредвиденные затраты"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8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2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8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0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сводному расчету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8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2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8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0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75" w:hRule="atLeast"/>
        </w:trPr>
        <w:tc>
          <w:tcPr>
            <w:tcW w:w="1311" w:type="dxa"/>
            <w:gridSpan w:val="2"/>
            <w:tcBorders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35" w:type="dxa"/>
            <w:tcBorders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Составил:</w:t>
            </w:r>
          </w:p>
        </w:tc>
        <w:tc>
          <w:tcPr>
            <w:tcW w:w="3425" w:type="dxa"/>
            <w:gridSpan w:val="2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42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1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67" w:type="dxa"/>
            <w:gridSpan w:val="5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37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94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>
        <w:trPr>
          <w:trHeight w:val="312" w:hRule="atLeast"/>
        </w:trPr>
        <w:tc>
          <w:tcPr>
            <w:tcW w:w="1311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3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25" w:type="dxa"/>
            <w:gridSpan w:val="2"/>
            <w:tcBorders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30" w:type="dxa"/>
            <w:gridSpan w:val="11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37" w:type="dxa"/>
            <w:gridSpan w:val="3"/>
            <w:tcBorders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94" w:type="dxa"/>
            <w:gridSpan w:val="3"/>
            <w:tcBorders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</w:tr>
      <w:tr>
        <w:trPr>
          <w:trHeight w:val="312" w:hRule="atLeast"/>
        </w:trPr>
        <w:tc>
          <w:tcPr>
            <w:tcW w:w="1311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3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Проверил:</w:t>
            </w:r>
          </w:p>
        </w:tc>
        <w:tc>
          <w:tcPr>
            <w:tcW w:w="3425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42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1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67" w:type="dxa"/>
            <w:gridSpan w:val="5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37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94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>
        <w:trPr>
          <w:trHeight w:val="724" w:hRule="atLeast"/>
        </w:trPr>
        <w:tc>
          <w:tcPr>
            <w:tcW w:w="1311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3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/>
              <w:object>
                <v:shapetype id="_x0000_tole_rId15" coordsize="21600,21600" o:spt="ole_rId1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le_rId15" type="_x0000_tole_rId15" style="width:68.3pt;height:43.8pt;mso-wrap-distance-right:0pt" filled="f" o:ole="">
                  <v:imagedata r:id="rId16" o:title=""/>
                </v:shape>
                <o:OLEObject Type="Embed" ProgID="Excel.Sheet.12" ShapeID="ole_rId15" DrawAspect="Icon" ObjectID="_612354238" r:id="rId15"/>
              </w:object>
            </w:r>
          </w:p>
        </w:tc>
        <w:tc>
          <w:tcPr>
            <w:tcW w:w="3425" w:type="dxa"/>
            <w:gridSpan w:val="2"/>
            <w:tcBorders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30" w:type="dxa"/>
            <w:gridSpan w:val="11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37" w:type="dxa"/>
            <w:gridSpan w:val="3"/>
            <w:tcBorders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94" w:type="dxa"/>
            <w:gridSpan w:val="3"/>
            <w:tcBorders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</w:tr>
    </w:tbl>
    <w:p>
      <w:pPr>
        <w:sectPr>
          <w:footerReference w:type="default" r:id="rId17"/>
          <w:footerReference w:type="first" r:id="rId18"/>
          <w:footnotePr>
            <w:numFmt w:val="decimal"/>
            <w:numRestart w:val="eachSect"/>
          </w:footnotePr>
          <w:type w:val="nextPage"/>
          <w:pgSz w:orient="landscape" w:w="16838" w:h="11906"/>
          <w:pgMar w:left="425" w:right="851" w:gutter="0" w:header="0" w:top="851" w:footer="709" w:bottom="766"/>
          <w:pgNumType w:fmt="decimal"/>
          <w:formProt w:val="false"/>
          <w:textDirection w:val="lrTb"/>
          <w:docGrid w:type="default" w:linePitch="360" w:charSpace="0"/>
        </w:sectPr>
        <w:pStyle w:val="ListParagraph"/>
        <w:spacing w:lineRule="auto" w:line="240" w:before="0" w:after="0"/>
        <w:ind w:left="928"/>
        <w:contextualSpacing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</w:r>
    </w:p>
    <w:p>
      <w:pPr>
        <w:pStyle w:val="ConsPlusNormal1"/>
        <w:widowControl/>
        <w:ind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397"/>
        <w:rPr>
          <w:rFonts w:ascii="Times New Roman" w:hAnsi="Times New Roman"/>
        </w:rPr>
      </w:pPr>
      <w:r>
        <w:rPr>
          <w:rFonts w:ascii="Times New Roman" w:hAnsi="Times New Roman"/>
          <w:b/>
        </w:rPr>
        <w:t>ОБРАЗЕЦ</w:t>
      </w:r>
      <w:r>
        <w:rPr>
          <w:rFonts w:ascii="Times New Roman" w:hAnsi="Times New Roman"/>
        </w:rPr>
        <w:t xml:space="preserve">             </w:t>
      </w:r>
    </w:p>
    <w:p>
      <w:pPr>
        <w:pStyle w:val="Normal"/>
        <w:spacing w:lineRule="auto" w:line="240" w:before="0" w:after="0"/>
        <w:ind w:left="8646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№1.2 </w:t>
      </w:r>
    </w:p>
    <w:p>
      <w:pPr>
        <w:pStyle w:val="ConsPlusNormal1"/>
        <w:ind w:firstLine="720"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</w:t>
      </w:r>
    </w:p>
    <w:p>
      <w:pPr>
        <w:pStyle w:val="ConsPlusNormal1"/>
        <w:ind w:firstLine="720"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firstLine="720"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 программе ремонтов, реконструкции и</w:t>
      </w:r>
    </w:p>
    <w:p>
      <w:pPr>
        <w:pStyle w:val="ConsPlusNormal1"/>
        <w:ind w:firstLine="720"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техническому перевооружению</w:t>
      </w:r>
    </w:p>
    <w:tbl>
      <w:tblPr>
        <w:tblW w:w="1619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22"/>
        <w:gridCol w:w="219"/>
        <w:gridCol w:w="1445"/>
        <w:gridCol w:w="220"/>
        <w:gridCol w:w="3264"/>
        <w:gridCol w:w="235"/>
        <w:gridCol w:w="217"/>
        <w:gridCol w:w="1207"/>
        <w:gridCol w:w="1843"/>
        <w:gridCol w:w="245"/>
        <w:gridCol w:w="823"/>
        <w:gridCol w:w="917"/>
        <w:gridCol w:w="257"/>
        <w:gridCol w:w="533"/>
        <w:gridCol w:w="220"/>
        <w:gridCol w:w="838"/>
        <w:gridCol w:w="419"/>
        <w:gridCol w:w="20"/>
        <w:gridCol w:w="434"/>
        <w:gridCol w:w="439"/>
        <w:gridCol w:w="217"/>
        <w:gridCol w:w="716"/>
        <w:gridCol w:w="747"/>
      </w:tblGrid>
      <w:tr>
        <w:trPr>
          <w:trHeight w:val="78" w:hRule="atLeast"/>
        </w:trPr>
        <w:tc>
          <w:tcPr>
            <w:tcW w:w="2606" w:type="dxa"/>
            <w:gridSpan w:val="4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СОГЛАСОВАНО:</w:t>
            </w:r>
          </w:p>
        </w:tc>
        <w:tc>
          <w:tcPr>
            <w:tcW w:w="3716" w:type="dxa"/>
            <w:gridSpan w:val="3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3295" w:type="dxa"/>
            <w:gridSpan w:val="3"/>
            <w:tcBorders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97" w:type="dxa"/>
            <w:gridSpan w:val="3"/>
            <w:tcBorders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83" w:type="dxa"/>
            <w:gridSpan w:val="10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УТВЕРЖДАЮ:</w:t>
            </w:r>
          </w:p>
        </w:tc>
      </w:tr>
      <w:tr>
        <w:trPr>
          <w:trHeight w:val="312" w:hRule="atLeast"/>
        </w:trPr>
        <w:tc>
          <w:tcPr>
            <w:tcW w:w="2606" w:type="dxa"/>
            <w:gridSpan w:val="4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 ФИО</w:t>
            </w:r>
          </w:p>
        </w:tc>
        <w:tc>
          <w:tcPr>
            <w:tcW w:w="3716" w:type="dxa"/>
            <w:gridSpan w:val="3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295" w:type="dxa"/>
            <w:gridSpan w:val="3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97" w:type="dxa"/>
            <w:gridSpan w:val="3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83" w:type="dxa"/>
            <w:gridSpan w:val="10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________________ФИО</w:t>
            </w:r>
          </w:p>
        </w:tc>
      </w:tr>
      <w:tr>
        <w:trPr>
          <w:trHeight w:val="312" w:hRule="atLeast"/>
        </w:trPr>
        <w:tc>
          <w:tcPr>
            <w:tcW w:w="6322" w:type="dxa"/>
            <w:gridSpan w:val="7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"___" _____________ 20__ г.</w:t>
            </w:r>
          </w:p>
        </w:tc>
        <w:tc>
          <w:tcPr>
            <w:tcW w:w="3295" w:type="dxa"/>
            <w:gridSpan w:val="3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97" w:type="dxa"/>
            <w:gridSpan w:val="3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83" w:type="dxa"/>
            <w:gridSpan w:val="10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"___" _____________ 20__ г.</w:t>
            </w:r>
          </w:p>
        </w:tc>
      </w:tr>
      <w:tr>
        <w:trPr>
          <w:trHeight w:val="312" w:hRule="atLeast"/>
        </w:trPr>
        <w:tc>
          <w:tcPr>
            <w:tcW w:w="941" w:type="dxa"/>
            <w:gridSpan w:val="2"/>
            <w:tcBorders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64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335" w:type="dxa"/>
            <w:gridSpan w:val="5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7" w:type="dxa"/>
            <w:gridSpan w:val="3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58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73" w:type="dxa"/>
            <w:gridSpan w:val="3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3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3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59" w:type="dxa"/>
            <w:gridSpan w:val="3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095" w:type="dxa"/>
            <w:gridSpan w:val="9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Сводный сметный расчет в сумме </w:t>
            </w:r>
          </w:p>
        </w:tc>
        <w:tc>
          <w:tcPr>
            <w:tcW w:w="1826" w:type="dxa"/>
            <w:gridSpan w:val="5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руб. без НДС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258" w:type="dxa"/>
            <w:gridSpan w:val="15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СВОДНЫЙ СМЕТНЫЙ РАСЧЕТ </w:t>
            </w:r>
          </w:p>
        </w:tc>
        <w:tc>
          <w:tcPr>
            <w:tcW w:w="1806" w:type="dxa"/>
            <w:gridSpan w:val="4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348" w:type="dxa"/>
            <w:gridSpan w:val="18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6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487" w:type="dxa"/>
            <w:gridSpan w:val="7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             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(наименование стройки)</w:t>
            </w:r>
          </w:p>
        </w:tc>
        <w:tc>
          <w:tcPr>
            <w:tcW w:w="2267" w:type="dxa"/>
            <w:gridSpan w:val="5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26" w:type="dxa"/>
            <w:gridSpan w:val="5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67" w:type="dxa"/>
            <w:gridSpan w:val="15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 в текущих ценах, соответствующих периоду выполнения работ по договору</w:t>
            </w:r>
          </w:p>
        </w:tc>
        <w:tc>
          <w:tcPr>
            <w:tcW w:w="2367" w:type="dxa"/>
            <w:gridSpan w:val="6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16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84" w:hRule="atLeast"/>
        </w:trPr>
        <w:tc>
          <w:tcPr>
            <w:tcW w:w="722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59" w:type="dxa"/>
            <w:gridSpan w:val="3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3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85" w:type="dxa"/>
            <w:gridSpan w:val="3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67" w:type="dxa"/>
            <w:gridSpan w:val="5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26" w:type="dxa"/>
            <w:gridSpan w:val="5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84" w:hRule="atLeast"/>
        </w:trPr>
        <w:tc>
          <w:tcPr>
            <w:tcW w:w="722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59" w:type="dxa"/>
            <w:gridSpan w:val="3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3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85" w:type="dxa"/>
            <w:gridSpan w:val="3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67" w:type="dxa"/>
            <w:gridSpan w:val="5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26" w:type="dxa"/>
            <w:gridSpan w:val="5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16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Номера сметных расчетов и смет</w:t>
            </w:r>
          </w:p>
        </w:tc>
        <w:tc>
          <w:tcPr>
            <w:tcW w:w="34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глав, объектов, работ и затрат</w:t>
            </w:r>
          </w:p>
        </w:tc>
        <w:tc>
          <w:tcPr>
            <w:tcW w:w="7754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руб.</w:t>
            </w:r>
          </w:p>
        </w:tc>
        <w:tc>
          <w:tcPr>
            <w:tcW w:w="1826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сметная</w:t>
            </w:r>
          </w:p>
          <w:p>
            <w:pPr>
              <w:pStyle w:val="Normal"/>
              <w:spacing w:lineRule="auto" w:line="240" w:before="0" w:after="0"/>
              <w:ind w:lef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стоимость, руб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597" w:hRule="atLeast"/>
        </w:trPr>
        <w:tc>
          <w:tcPr>
            <w:tcW w:w="72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8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5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строитель-</w:t>
              <w:br/>
              <w:t>ных работ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98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оборудования, мебели, инвентаря</w:t>
            </w:r>
          </w:p>
        </w:tc>
        <w:tc>
          <w:tcPr>
            <w:tcW w:w="226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прочих</w:t>
            </w:r>
          </w:p>
        </w:tc>
        <w:tc>
          <w:tcPr>
            <w:tcW w:w="1826" w:type="dxa"/>
            <w:gridSpan w:val="5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hanging="5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64" w:type="dxa"/>
            <w:gridSpan w:val="2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484" w:type="dxa"/>
            <w:gridSpan w:val="2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59" w:type="dxa"/>
            <w:gridSpan w:val="3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985" w:type="dxa"/>
            <w:gridSpan w:val="3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267" w:type="dxa"/>
            <w:gridSpan w:val="5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826" w:type="dxa"/>
            <w:gridSpan w:val="5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450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Глава 2. Основные объекты 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450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Сметы основного договора: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02-01-01</w:t>
            </w:r>
          </w:p>
        </w:tc>
        <w:tc>
          <w:tcPr>
            <w:tcW w:w="34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02-01-02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60" w:hRule="atLeast"/>
        </w:trPr>
        <w:tc>
          <w:tcPr>
            <w:tcW w:w="15450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Исключить дополнительным соглашением №___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02-01-02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405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исключено Дополнительным соглашением №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5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435" w:hRule="atLeast"/>
        </w:trPr>
        <w:tc>
          <w:tcPr>
            <w:tcW w:w="15450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Включить дополнительным соглашением №____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70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02-01-02/1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30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включено Дополнительным соглашением №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5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2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Главе 2. "Основные объекты"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5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Всего по сводному сметному расчету, без учета НДС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5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60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сумма основного договора (без НДС)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771" w:hRule="atLeast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ДС №___ от ___.__.20___г.</w:t>
            </w:r>
          </w:p>
        </w:tc>
        <w:tc>
          <w:tcPr>
            <w:tcW w:w="34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сумма увеличения основного договора на основании дополнительного соглашения № ___ без НДС</w:t>
            </w:r>
          </w:p>
        </w:tc>
        <w:tc>
          <w:tcPr>
            <w:tcW w:w="1659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0  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75" w:hRule="atLeast"/>
        </w:trPr>
        <w:tc>
          <w:tcPr>
            <w:tcW w:w="722" w:type="dxa"/>
            <w:tcBorders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Составил: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84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87" w:type="dxa"/>
            <w:gridSpan w:val="7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67" w:type="dxa"/>
            <w:gridSpan w:val="5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75" w:hRule="atLeast"/>
        </w:trPr>
        <w:tc>
          <w:tcPr>
            <w:tcW w:w="722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84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59" w:type="dxa"/>
            <w:gridSpan w:val="3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843" w:type="dxa"/>
            <w:tcBorders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67" w:type="dxa"/>
            <w:gridSpan w:val="5"/>
            <w:tcBorders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826" w:type="dxa"/>
            <w:gridSpan w:val="5"/>
            <w:tcBorders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Проверил: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84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87" w:type="dxa"/>
            <w:gridSpan w:val="7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67" w:type="dxa"/>
            <w:gridSpan w:val="5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</w:tbl>
    <w:p>
      <w:pPr>
        <w:pStyle w:val="ConsPlusNormal1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sectPr>
          <w:footerReference w:type="default" r:id="rId21"/>
          <w:footerReference w:type="first" r:id="rId22"/>
          <w:footnotePr>
            <w:numFmt w:val="decimal"/>
            <w:numRestart w:val="eachSect"/>
          </w:footnotePr>
          <w:type w:val="nextPage"/>
          <w:pgSz w:orient="landscape" w:w="16838" w:h="11906"/>
          <w:pgMar w:left="425" w:right="851" w:gutter="0" w:header="0" w:top="1276" w:footer="709" w:bottom="766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rPr>
          <w:rFonts w:ascii="Times New Roman" w:hAnsi="Times New Roman" w:cs="Arial"/>
          <w:sz w:val="20"/>
          <w:szCs w:val="20"/>
        </w:rPr>
      </w:pPr>
      <w:r>
        <w:rPr/>
        <w:object>
          <v:shapetype id="_x0000_tole_rId19" coordsize="21600,21600" o:spt="ole_rId19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19" type="_x0000_tole_rId19" style="width:79.4pt;height:50.45pt;mso-wrap-distance-right:0pt" filled="f" o:ole="">
            <v:imagedata r:id="rId20" o:title=""/>
          </v:shape>
          <o:OLEObject Type="Embed" ProgID="Excel.Sheet.12" ShapeID="ole_rId19" DrawAspect="Icon" ObjectID="_754951453" r:id="rId19"/>
        </w:object>
      </w:r>
    </w:p>
    <w:p>
      <w:pPr>
        <w:pStyle w:val="Normal"/>
        <w:spacing w:lineRule="auto" w:line="240" w:before="0" w:after="0"/>
        <w:ind w:left="35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bookmarkStart w:id="9" w:name="P2529"/>
      <w:bookmarkStart w:id="10" w:name="P2526"/>
      <w:bookmarkStart w:id="11" w:name="P2530"/>
      <w:bookmarkStart w:id="12" w:name="P2546"/>
      <w:bookmarkStart w:id="13" w:name="P2566"/>
      <w:bookmarkStart w:id="14" w:name="P2616"/>
      <w:bookmarkStart w:id="15" w:name="P2736"/>
      <w:bookmarkStart w:id="16" w:name="P2746"/>
      <w:bookmarkStart w:id="17" w:name="P2945"/>
      <w:bookmarkStart w:id="18" w:name="P2528"/>
      <w:bookmarkStart w:id="19" w:name="P2527"/>
      <w:bookmarkStart w:id="20" w:name="P2525"/>
      <w:bookmarkStart w:id="21" w:name="P2524"/>
      <w:bookmarkStart w:id="22" w:name="P2523"/>
      <w:bookmarkStart w:id="23" w:name="P2522"/>
      <w:bookmarkStart w:id="24" w:name="P2506"/>
      <w:bookmarkStart w:id="25" w:name="P3258"/>
      <w:bookmarkStart w:id="26" w:name="P2531"/>
      <w:bookmarkStart w:id="27" w:name="P2529"/>
      <w:bookmarkStart w:id="28" w:name="P2526"/>
      <w:bookmarkStart w:id="29" w:name="P2530"/>
      <w:bookmarkStart w:id="30" w:name="P2546"/>
      <w:bookmarkStart w:id="31" w:name="P2566"/>
      <w:bookmarkStart w:id="32" w:name="P2616"/>
      <w:bookmarkStart w:id="33" w:name="P2736"/>
      <w:bookmarkStart w:id="34" w:name="P2746"/>
      <w:bookmarkStart w:id="35" w:name="P2945"/>
      <w:bookmarkStart w:id="36" w:name="P2528"/>
      <w:bookmarkStart w:id="37" w:name="P2527"/>
      <w:bookmarkStart w:id="38" w:name="P2525"/>
      <w:bookmarkStart w:id="39" w:name="P2524"/>
      <w:bookmarkStart w:id="40" w:name="P2523"/>
      <w:bookmarkStart w:id="41" w:name="P2522"/>
      <w:bookmarkStart w:id="42" w:name="P2506"/>
      <w:bookmarkStart w:id="43" w:name="P3258"/>
      <w:bookmarkStart w:id="44" w:name="P2531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>
      <w:pPr>
        <w:pStyle w:val="Normal"/>
        <w:spacing w:lineRule="auto" w:line="240" w:before="0" w:after="0"/>
        <w:ind w:hanging="426" w:left="426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ОБРАЗЕЦ</w:t>
      </w:r>
    </w:p>
    <w:p>
      <w:pPr>
        <w:pStyle w:val="Normal"/>
        <w:spacing w:lineRule="auto" w:line="240" w:before="0" w:after="0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№1.3 </w:t>
      </w:r>
    </w:p>
    <w:p>
      <w:pPr>
        <w:pStyle w:val="ConsPlusNormal1"/>
        <w:ind w:firstLine="720" w:left="581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firstLine="720"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firstLine="720"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firstLine="720"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firstLine="720"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программе ремонтов, реконструкции </w:t>
      </w:r>
    </w:p>
    <w:p>
      <w:pPr>
        <w:pStyle w:val="ConsPlusNormal1"/>
        <w:ind w:firstLine="720"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>
      <w:pPr>
        <w:pStyle w:val="ConsPlusNormal1"/>
        <w:ind w:firstLine="720"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ind w:firstLine="720"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>
      <w:pPr>
        <w:pStyle w:val="ConsPlusNormal1"/>
        <w:ind w:firstLine="720"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firstLine="720"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</w:t>
      </w:r>
      <w:r>
        <w:rPr>
          <w:rFonts w:ascii="Times New Roman" w:hAnsi="Times New Roman"/>
        </w:rPr>
        <w:t xml:space="preserve">к договору от_______№_____ </w:t>
      </w:r>
    </w:p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tbl>
      <w:tblPr>
        <w:tblW w:w="10206" w:type="dxa"/>
        <w:jc w:val="left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424"/>
        <w:gridCol w:w="850"/>
        <w:gridCol w:w="851"/>
        <w:gridCol w:w="1276"/>
        <w:gridCol w:w="1276"/>
        <w:gridCol w:w="1700"/>
        <w:gridCol w:w="1702"/>
        <w:gridCol w:w="2125"/>
      </w:tblGrid>
      <w:tr>
        <w:trPr>
          <w:trHeight w:val="433" w:hRule="atLeast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>
        <w:trPr/>
        <w:tc>
          <w:tcPr>
            <w:tcW w:w="4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9" w:before="0" w:after="160"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позиции сметного расчета (сметы) в ССР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9" w:before="0" w:after="160"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  <w:tc>
          <w:tcPr>
            <w:tcW w:w="21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9" w:before="0" w:after="160"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357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br w:type="page"/>
      </w:r>
    </w:p>
    <w:p>
      <w:pPr>
        <w:pStyle w:val="Normal"/>
        <w:spacing w:lineRule="auto" w:line="240" w:before="0" w:after="0"/>
        <w:ind w:left="357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№1.4 </w:t>
      </w:r>
    </w:p>
    <w:p>
      <w:pPr>
        <w:pStyle w:val="ConsPlusNormal1"/>
        <w:ind w:firstLine="720"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Требованиям к оформлению и составлению </w:t>
      </w:r>
    </w:p>
    <w:p>
      <w:pPr>
        <w:pStyle w:val="ConsPlusNormal1"/>
        <w:ind w:firstLine="720"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firstLine="720"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firstLine="720"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программе ремонтов, реконструкции </w:t>
      </w:r>
    </w:p>
    <w:p>
      <w:pPr>
        <w:pStyle w:val="ConsPlusNormal1"/>
        <w:ind w:firstLine="720"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>
      <w:pPr>
        <w:pStyle w:val="ConsPlusNormal1"/>
        <w:ind w:firstLine="720"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ind w:firstLine="720"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>
      <w:pPr>
        <w:pStyle w:val="ConsPlusNormal1"/>
        <w:ind w:firstLine="720"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firstLine="720"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Сопоставительная ведомость объемов работ</w:t>
      </w:r>
    </w:p>
    <w:p>
      <w:pPr>
        <w:pStyle w:val="ConsPlusNormal1"/>
        <w:jc w:val="both"/>
        <w:rPr>
          <w:b/>
        </w:rPr>
      </w:pPr>
      <w:r>
        <w:rPr>
          <w:b/>
        </w:rPr>
      </w:r>
    </w:p>
    <w:tbl>
      <w:tblPr>
        <w:tblW w:w="10773" w:type="dxa"/>
        <w:jc w:val="left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425"/>
        <w:gridCol w:w="709"/>
        <w:gridCol w:w="851"/>
        <w:gridCol w:w="1208"/>
        <w:gridCol w:w="917"/>
        <w:gridCol w:w="850"/>
        <w:gridCol w:w="852"/>
        <w:gridCol w:w="850"/>
        <w:gridCol w:w="851"/>
        <w:gridCol w:w="708"/>
        <w:gridCol w:w="567"/>
        <w:gridCol w:w="850"/>
        <w:gridCol w:w="1134"/>
      </w:tblGrid>
      <w:tr>
        <w:trPr>
          <w:trHeight w:val="880" w:hRule="atLeast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hanging="0" w:lef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№№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3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Ед. изм.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hanging="1416" w:left="136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Примечание</w:t>
            </w:r>
          </w:p>
        </w:tc>
      </w:tr>
      <w:tr>
        <w:trPr>
          <w:trHeight w:val="62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firstLine="720" w:left="-7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hanging="0" w:left="-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позиции в сметном расчете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5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1308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firstLine="720"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увели</w:t>
            </w:r>
          </w:p>
          <w:p>
            <w:pPr>
              <w:pStyle w:val="ConsPlusNormal1"/>
              <w:ind w:firstLine="720"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232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</w:tbl>
    <w:p>
      <w:pPr>
        <w:sectPr>
          <w:footerReference w:type="default" r:id="rId23"/>
          <w:footerReference w:type="first" r:id="rId24"/>
          <w:footnotePr>
            <w:numFmt w:val="decimal"/>
            <w:numRestart w:val="eachSect"/>
          </w:footnotePr>
          <w:type w:val="nextPage"/>
          <w:pgSz w:w="11906" w:h="16838"/>
          <w:pgMar w:left="426" w:right="924" w:gutter="0" w:header="0" w:top="284" w:footer="709" w:bottom="766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ConsPlusNormal1"/>
        <w:jc w:val="both"/>
        <w:rPr/>
      </w:pPr>
      <w:r>
        <w:rPr/>
      </w:r>
    </w:p>
    <w:p>
      <w:pPr>
        <w:pStyle w:val="Normal"/>
        <w:spacing w:lineRule="auto" w:line="240" w:before="0" w:after="0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Приложение№1.5 </w:t>
      </w:r>
    </w:p>
    <w:p>
      <w:pPr>
        <w:pStyle w:val="Normal"/>
        <w:spacing w:lineRule="auto" w:line="240" w:before="0" w:after="0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>
      <w:pPr>
        <w:pStyle w:val="ConsPlusNormal1"/>
        <w:ind w:firstLine="720"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firstLine="720"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firstLine="720"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firstLine="720"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программе ремонтов, реконструкции </w:t>
      </w:r>
    </w:p>
    <w:p>
      <w:pPr>
        <w:pStyle w:val="ConsPlusNormal1"/>
        <w:ind w:firstLine="720"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ОБРАЗЕЦ (БИМ)</w:t>
      </w:r>
    </w:p>
    <w:p>
      <w:pPr>
        <w:pStyle w:val="Normal"/>
        <w:spacing w:lineRule="auto" w:line="240" w:before="0" w:after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133"/>
        <w:gridCol w:w="1317"/>
        <w:gridCol w:w="691"/>
        <w:gridCol w:w="2815"/>
        <w:gridCol w:w="849"/>
        <w:gridCol w:w="1099"/>
        <w:gridCol w:w="665"/>
        <w:gridCol w:w="1042"/>
        <w:gridCol w:w="1083"/>
        <w:gridCol w:w="665"/>
        <w:gridCol w:w="1042"/>
        <w:gridCol w:w="506"/>
        <w:gridCol w:w="687"/>
        <w:gridCol w:w="2239"/>
      </w:tblGrid>
      <w:tr>
        <w:trPr>
          <w:trHeight w:val="285" w:hRule="atLeast"/>
        </w:trPr>
        <w:tc>
          <w:tcPr>
            <w:tcW w:w="3141" w:type="dxa"/>
            <w:gridSpan w:val="3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281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74" w:type="dxa"/>
            <w:gridSpan w:val="4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>
        <w:trPr>
          <w:trHeight w:val="225" w:hRule="exact"/>
        </w:trPr>
        <w:tc>
          <w:tcPr>
            <w:tcW w:w="5956" w:type="dxa"/>
            <w:gridSpan w:val="4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39" w:type="dxa"/>
            <w:gridSpan w:val="5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45" w:hRule="atLeast"/>
        </w:trPr>
        <w:tc>
          <w:tcPr>
            <w:tcW w:w="1133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1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</w:tr>
      <w:tr>
        <w:trPr>
          <w:trHeight w:val="330" w:hRule="atLeast"/>
        </w:trPr>
        <w:tc>
          <w:tcPr>
            <w:tcW w:w="2450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_____________202</w:t>
            </w:r>
            <w:r>
              <w:rPr>
                <w:rFonts w:cs="Arial" w:ascii="Arial" w:hAnsi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 г</w:t>
            </w:r>
          </w:p>
        </w:tc>
        <w:tc>
          <w:tcPr>
            <w:tcW w:w="69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________202</w:t>
            </w:r>
            <w:r>
              <w:rPr>
                <w:rFonts w:cs="Arial" w:ascii="Arial" w:hAnsi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 г</w:t>
            </w:r>
          </w:p>
        </w:tc>
      </w:tr>
      <w:tr>
        <w:trPr>
          <w:trHeight w:val="225" w:hRule="atLeast"/>
        </w:trPr>
        <w:tc>
          <w:tcPr>
            <w:tcW w:w="3141" w:type="dxa"/>
            <w:gridSpan w:val="3"/>
            <w:tcBorders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12692" w:type="dxa"/>
            <w:gridSpan w:val="11"/>
            <w:tcBorders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300" w:hRule="atLeast"/>
        </w:trPr>
        <w:tc>
          <w:tcPr>
            <w:tcW w:w="3141" w:type="dxa"/>
            <w:gridSpan w:val="3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3664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ПК "ГРАНД-Смета 202</w:t>
            </w:r>
            <w:r>
              <w:rPr>
                <w:rFonts w:cs="Arial" w:ascii="Arial" w:hAnsi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"</w:t>
            </w:r>
          </w:p>
        </w:tc>
        <w:tc>
          <w:tcPr>
            <w:tcW w:w="1099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3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6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</w:tr>
      <w:tr>
        <w:trPr>
          <w:trHeight w:val="165" w:hRule="exact"/>
        </w:trPr>
        <w:tc>
          <w:tcPr>
            <w:tcW w:w="113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7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1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1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14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>
        <w:trPr>
          <w:trHeight w:val="225" w:hRule="exact"/>
        </w:trPr>
        <w:tc>
          <w:tcPr>
            <w:tcW w:w="15833" w:type="dxa"/>
            <w:gridSpan w:val="14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14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>
        <w:trPr>
          <w:trHeight w:val="480" w:hRule="atLeast"/>
        </w:trPr>
        <w:tc>
          <w:tcPr>
            <w:tcW w:w="15833" w:type="dxa"/>
            <w:gridSpan w:val="14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  <w:tr>
        <w:trPr>
          <w:trHeight w:val="165" w:hRule="exact"/>
        </w:trPr>
        <w:tc>
          <w:tcPr>
            <w:tcW w:w="113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tcW w:w="1317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1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1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14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270" w:hRule="atLeast"/>
        </w:trPr>
        <w:tc>
          <w:tcPr>
            <w:tcW w:w="15833" w:type="dxa"/>
            <w:gridSpan w:val="14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>
        <w:trPr>
          <w:trHeight w:val="300" w:hRule="atLeast"/>
        </w:trPr>
        <w:tc>
          <w:tcPr>
            <w:tcW w:w="113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Составлен </w:t>
            </w:r>
          </w:p>
        </w:tc>
        <w:tc>
          <w:tcPr>
            <w:tcW w:w="131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базисно-индексным</w:t>
            </w:r>
          </w:p>
        </w:tc>
        <w:tc>
          <w:tcPr>
            <w:tcW w:w="691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281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60" w:hRule="atLeast"/>
        </w:trPr>
        <w:tc>
          <w:tcPr>
            <w:tcW w:w="113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6771" w:type="dxa"/>
            <w:gridSpan w:val="5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13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771" w:type="dxa"/>
            <w:gridSpan w:val="5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3141" w:type="dxa"/>
            <w:gridSpan w:val="3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</w:p>
        </w:tc>
        <w:tc>
          <w:tcPr>
            <w:tcW w:w="2815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green"/>
                <w:lang w:val="en-US"/>
              </w:rPr>
              <w:t>4 кв.2025г.</w:t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2450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69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7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691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7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69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55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8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39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7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69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55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3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чел.час.</w:t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7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69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55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чел.час.</w:t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7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69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497" w:type="dxa"/>
            <w:gridSpan w:val="5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</w:p>
        </w:tc>
        <w:tc>
          <w:tcPr>
            <w:tcW w:w="1193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195" w:hRule="exact"/>
        </w:trPr>
        <w:tc>
          <w:tcPr>
            <w:tcW w:w="1133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7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1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1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720" w:hRule="atLeast"/>
        </w:trPr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№ 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3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435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1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27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221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Индексы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</w:tr>
      <w:tr>
        <w:trPr>
          <w:trHeight w:val="735" w:hRule="atLeast"/>
        </w:trPr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35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790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13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900" w:hRule="atLeast"/>
        </w:trPr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35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104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08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6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104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6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225" w:hRule="atLeast"/>
        </w:trPr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1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35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9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6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4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8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6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4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8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23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12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  <w:r>
        <w:br w:type="page"/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ОБРАЗЕЦ (</w:t>
      </w:r>
      <w:r>
        <w:rPr>
          <w:rFonts w:ascii="Times New Roman" w:hAnsi="Times New Roman"/>
          <w:b/>
          <w:color w:val="000000"/>
          <w:sz w:val="20"/>
          <w:szCs w:val="20"/>
          <w:lang w:val="en-US"/>
        </w:rPr>
        <w:t>Р</w:t>
      </w:r>
      <w:r>
        <w:rPr>
          <w:rFonts w:ascii="Times New Roman" w:hAnsi="Times New Roman"/>
          <w:b/>
          <w:color w:val="000000"/>
          <w:sz w:val="20"/>
          <w:szCs w:val="20"/>
        </w:rPr>
        <w:t>ИМ)</w:t>
      </w:r>
    </w:p>
    <w:p>
      <w:pPr>
        <w:pStyle w:val="Normal"/>
        <w:spacing w:lineRule="auto" w:line="240" w:before="0" w:after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133"/>
        <w:gridCol w:w="1317"/>
        <w:gridCol w:w="691"/>
        <w:gridCol w:w="2815"/>
        <w:gridCol w:w="849"/>
        <w:gridCol w:w="1099"/>
        <w:gridCol w:w="665"/>
        <w:gridCol w:w="1042"/>
        <w:gridCol w:w="1083"/>
        <w:gridCol w:w="665"/>
        <w:gridCol w:w="1042"/>
        <w:gridCol w:w="506"/>
        <w:gridCol w:w="687"/>
        <w:gridCol w:w="2239"/>
      </w:tblGrid>
      <w:tr>
        <w:trPr>
          <w:trHeight w:val="285" w:hRule="atLeast"/>
        </w:trPr>
        <w:tc>
          <w:tcPr>
            <w:tcW w:w="3141" w:type="dxa"/>
            <w:gridSpan w:val="3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281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74" w:type="dxa"/>
            <w:gridSpan w:val="4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>
        <w:trPr>
          <w:trHeight w:val="225" w:hRule="exact"/>
        </w:trPr>
        <w:tc>
          <w:tcPr>
            <w:tcW w:w="5956" w:type="dxa"/>
            <w:gridSpan w:val="4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39" w:type="dxa"/>
            <w:gridSpan w:val="5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45" w:hRule="atLeast"/>
        </w:trPr>
        <w:tc>
          <w:tcPr>
            <w:tcW w:w="1133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1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</w:tr>
      <w:tr>
        <w:trPr>
          <w:trHeight w:val="330" w:hRule="atLeast"/>
        </w:trPr>
        <w:tc>
          <w:tcPr>
            <w:tcW w:w="2450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_____________202</w:t>
            </w:r>
            <w:r>
              <w:rPr>
                <w:rFonts w:cs="Arial" w:ascii="Arial" w:hAnsi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 г</w:t>
            </w:r>
          </w:p>
        </w:tc>
        <w:tc>
          <w:tcPr>
            <w:tcW w:w="69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________202</w:t>
            </w:r>
            <w:r>
              <w:rPr>
                <w:rFonts w:cs="Arial" w:ascii="Arial" w:hAnsi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 г</w:t>
            </w:r>
          </w:p>
        </w:tc>
      </w:tr>
      <w:tr>
        <w:trPr>
          <w:trHeight w:val="225" w:hRule="atLeast"/>
        </w:trPr>
        <w:tc>
          <w:tcPr>
            <w:tcW w:w="3141" w:type="dxa"/>
            <w:gridSpan w:val="3"/>
            <w:tcBorders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12692" w:type="dxa"/>
            <w:gridSpan w:val="11"/>
            <w:tcBorders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300" w:hRule="atLeast"/>
        </w:trPr>
        <w:tc>
          <w:tcPr>
            <w:tcW w:w="3141" w:type="dxa"/>
            <w:gridSpan w:val="3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3664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ПК "ГРАНД-Смета 202</w:t>
            </w:r>
            <w:r>
              <w:rPr>
                <w:rFonts w:cs="Arial" w:ascii="Arial" w:hAnsi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"</w:t>
            </w:r>
          </w:p>
        </w:tc>
        <w:tc>
          <w:tcPr>
            <w:tcW w:w="1099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3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6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</w:tr>
      <w:tr>
        <w:trPr>
          <w:trHeight w:val="165" w:hRule="exact"/>
        </w:trPr>
        <w:tc>
          <w:tcPr>
            <w:tcW w:w="113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7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1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1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14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>
        <w:trPr>
          <w:trHeight w:val="225" w:hRule="exact"/>
        </w:trPr>
        <w:tc>
          <w:tcPr>
            <w:tcW w:w="15833" w:type="dxa"/>
            <w:gridSpan w:val="14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14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>
        <w:trPr>
          <w:trHeight w:val="480" w:hRule="atLeast"/>
        </w:trPr>
        <w:tc>
          <w:tcPr>
            <w:tcW w:w="15833" w:type="dxa"/>
            <w:gridSpan w:val="14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</w:tbl>
    <w:p>
      <w:pPr>
        <w:pStyle w:val="Normal"/>
        <w:spacing w:lineRule="auto" w:line="240" w:before="0" w:after="0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tbl>
      <w:tblPr>
        <w:tblW w:w="1600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20"/>
        <w:gridCol w:w="1349"/>
        <w:gridCol w:w="11"/>
        <w:gridCol w:w="858"/>
        <w:gridCol w:w="11"/>
        <w:gridCol w:w="683"/>
        <w:gridCol w:w="10"/>
        <w:gridCol w:w="810"/>
        <w:gridCol w:w="9"/>
        <w:gridCol w:w="595"/>
        <w:gridCol w:w="10"/>
        <w:gridCol w:w="890"/>
        <w:gridCol w:w="9"/>
        <w:gridCol w:w="99"/>
        <w:gridCol w:w="10"/>
        <w:gridCol w:w="133"/>
        <w:gridCol w:w="9"/>
        <w:gridCol w:w="652"/>
        <w:gridCol w:w="9"/>
        <w:gridCol w:w="333"/>
        <w:gridCol w:w="11"/>
        <w:gridCol w:w="792"/>
        <w:gridCol w:w="10"/>
        <w:gridCol w:w="177"/>
        <w:gridCol w:w="10"/>
        <w:gridCol w:w="1381"/>
        <w:gridCol w:w="9"/>
        <w:gridCol w:w="76"/>
        <w:gridCol w:w="9"/>
        <w:gridCol w:w="944"/>
        <w:gridCol w:w="10"/>
        <w:gridCol w:w="110"/>
        <w:gridCol w:w="10"/>
        <w:gridCol w:w="584"/>
        <w:gridCol w:w="9"/>
        <w:gridCol w:w="434"/>
        <w:gridCol w:w="10"/>
        <w:gridCol w:w="644"/>
        <w:gridCol w:w="23"/>
        <w:gridCol w:w="120"/>
        <w:gridCol w:w="22"/>
        <w:gridCol w:w="808"/>
        <w:gridCol w:w="360"/>
        <w:gridCol w:w="843"/>
        <w:gridCol w:w="48"/>
        <w:gridCol w:w="1032"/>
      </w:tblGrid>
      <w:tr>
        <w:trPr>
          <w:trHeight w:val="300" w:hRule="atLeast"/>
        </w:trPr>
        <w:tc>
          <w:tcPr>
            <w:tcW w:w="14964" w:type="dxa"/>
            <w:gridSpan w:val="45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Волжская ГЭС. ОРУ 220 кВ. Релейная защита и автоматика.Демонтажные работы</w:t>
            </w:r>
          </w:p>
        </w:tc>
        <w:tc>
          <w:tcPr>
            <w:tcW w:w="103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25" w:hRule="atLeast"/>
        </w:trPr>
        <w:tc>
          <w:tcPr>
            <w:tcW w:w="14964" w:type="dxa"/>
            <w:gridSpan w:val="45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cs="Arial" w:ascii="Arial" w:hAnsi="Arial"/>
                <w:i/>
                <w:iCs/>
                <w:sz w:val="16"/>
                <w:szCs w:val="16"/>
              </w:rPr>
              <w:t>(наименование работ и затрат)</w:t>
            </w:r>
          </w:p>
        </w:tc>
        <w:tc>
          <w:tcPr>
            <w:tcW w:w="103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 xml:space="preserve">Составлен </w:t>
            </w:r>
          </w:p>
        </w:tc>
        <w:tc>
          <w:tcPr>
            <w:tcW w:w="1349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ресурсно-индексным</w:t>
            </w:r>
          </w:p>
        </w:tc>
        <w:tc>
          <w:tcPr>
            <w:tcW w:w="869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694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20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04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1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3" w:type="dxa"/>
            <w:gridSpan w:val="6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3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7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97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0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1" w:type="dxa"/>
            <w:gridSpan w:val="3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Основание</w:t>
            </w:r>
          </w:p>
        </w:tc>
        <w:tc>
          <w:tcPr>
            <w:tcW w:w="5236" w:type="dxa"/>
            <w:gridSpan w:val="11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ЭТЛ-13622-ЛС.1.ВОР</w:t>
            </w:r>
          </w:p>
        </w:tc>
        <w:tc>
          <w:tcPr>
            <w:tcW w:w="251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3" w:type="dxa"/>
            <w:gridSpan w:val="6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3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7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97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0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1" w:type="dxa"/>
            <w:gridSpan w:val="3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1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236" w:type="dxa"/>
            <w:gridSpan w:val="11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251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3" w:type="dxa"/>
            <w:gridSpan w:val="6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3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7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97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0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1" w:type="dxa"/>
            <w:gridSpan w:val="3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195" w:hRule="exac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69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4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0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04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1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3" w:type="dxa"/>
            <w:gridSpan w:val="6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3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7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97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0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1" w:type="dxa"/>
            <w:gridSpan w:val="3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5366" w:type="dxa"/>
            <w:gridSpan w:val="11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 xml:space="preserve">Составлен(а) в текущем уровне цен ,    </w:t>
            </w:r>
            <w:r>
              <w:rPr>
                <w:rFonts w:cs="Arial" w:ascii="Arial" w:hAnsi="Arial"/>
                <w:b/>
                <w:bCs/>
                <w:sz w:val="16"/>
                <w:szCs w:val="16"/>
                <w:highlight w:val="green"/>
              </w:rPr>
              <w:t>4 кв. 2025г</w:t>
            </w:r>
            <w:r>
              <w:rPr>
                <w:rFonts w:cs="Arial" w:ascii="Arial" w:hAnsi="Arial"/>
                <w:b/>
                <w:bCs/>
                <w:sz w:val="16"/>
                <w:szCs w:val="16"/>
              </w:rPr>
              <w:t xml:space="preserve">  </w:t>
            </w:r>
          </w:p>
        </w:tc>
        <w:tc>
          <w:tcPr>
            <w:tcW w:w="1008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</w:r>
          </w:p>
        </w:tc>
        <w:tc>
          <w:tcPr>
            <w:tcW w:w="803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33" w:type="dxa"/>
            <w:gridSpan w:val="6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90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9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13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11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0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8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3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195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69" w:type="dxa"/>
            <w:gridSpan w:val="2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694" w:type="dxa"/>
            <w:gridSpan w:val="2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1504" w:type="dxa"/>
            <w:gridSpan w:val="4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251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3" w:type="dxa"/>
            <w:gridSpan w:val="6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3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7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97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0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1" w:type="dxa"/>
            <w:gridSpan w:val="3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2380" w:type="dxa"/>
            <w:gridSpan w:val="3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869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cs="Arial" w:ascii="Arial" w:hAnsi="Arial"/>
                <w:sz w:val="16"/>
                <w:szCs w:val="16"/>
                <w:lang w:val="en-US"/>
              </w:rPr>
              <w:t>0.00</w:t>
            </w:r>
          </w:p>
        </w:tc>
        <w:tc>
          <w:tcPr>
            <w:tcW w:w="819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  <w:tc>
          <w:tcPr>
            <w:tcW w:w="1504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51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5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2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2" w:type="dxa"/>
            <w:gridSpan w:val="6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4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7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9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8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1" w:type="dxa"/>
            <w:gridSpan w:val="3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</w:rPr>
              <w:t>в том числе:</w:t>
            </w:r>
          </w:p>
        </w:tc>
        <w:tc>
          <w:tcPr>
            <w:tcW w:w="869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</w:rPr>
            </w:r>
          </w:p>
        </w:tc>
        <w:tc>
          <w:tcPr>
            <w:tcW w:w="694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0" w:type="dxa"/>
            <w:gridSpan w:val="2"/>
            <w:tcBorders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04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1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3" w:type="dxa"/>
            <w:gridSpan w:val="6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3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7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97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0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1" w:type="dxa"/>
            <w:gridSpan w:val="3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строительных работ</w:t>
            </w:r>
          </w:p>
        </w:tc>
        <w:tc>
          <w:tcPr>
            <w:tcW w:w="869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4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0,00</w:t>
            </w:r>
          </w:p>
        </w:tc>
        <w:tc>
          <w:tcPr>
            <w:tcW w:w="82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  <w:tc>
          <w:tcPr>
            <w:tcW w:w="1504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51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3" w:type="dxa"/>
            <w:gridSpan w:val="6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10" w:type="dxa"/>
            <w:gridSpan w:val="8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797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30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1251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032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монтажных работ</w:t>
            </w:r>
          </w:p>
        </w:tc>
        <w:tc>
          <w:tcPr>
            <w:tcW w:w="869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4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cs="Arial" w:ascii="Arial" w:hAnsi="Arial"/>
                <w:sz w:val="16"/>
                <w:szCs w:val="16"/>
                <w:lang w:val="en-US"/>
              </w:rPr>
              <w:t>0.00</w:t>
            </w:r>
          </w:p>
        </w:tc>
        <w:tc>
          <w:tcPr>
            <w:tcW w:w="82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  <w:tc>
          <w:tcPr>
            <w:tcW w:w="1504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51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3" w:type="dxa"/>
            <w:gridSpan w:val="6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10" w:type="dxa"/>
            <w:gridSpan w:val="8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Средства на оплату труда машинистов</w:t>
            </w:r>
          </w:p>
        </w:tc>
        <w:tc>
          <w:tcPr>
            <w:tcW w:w="797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30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1251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032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оборудования</w:t>
            </w:r>
          </w:p>
        </w:tc>
        <w:tc>
          <w:tcPr>
            <w:tcW w:w="869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4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0,00</w:t>
            </w:r>
          </w:p>
        </w:tc>
        <w:tc>
          <w:tcPr>
            <w:tcW w:w="82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  <w:tc>
          <w:tcPr>
            <w:tcW w:w="1504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51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3" w:type="dxa"/>
            <w:gridSpan w:val="6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10" w:type="dxa"/>
            <w:gridSpan w:val="8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797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30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1251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03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чел.-ч.</w:t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прочих затрат</w:t>
            </w:r>
          </w:p>
        </w:tc>
        <w:tc>
          <w:tcPr>
            <w:tcW w:w="869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4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0,00</w:t>
            </w:r>
          </w:p>
        </w:tc>
        <w:tc>
          <w:tcPr>
            <w:tcW w:w="82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  <w:tc>
          <w:tcPr>
            <w:tcW w:w="1504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51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3" w:type="dxa"/>
            <w:gridSpan w:val="6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07" w:type="dxa"/>
            <w:gridSpan w:val="12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830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1251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03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чел.-ч.</w:t>
            </w:r>
          </w:p>
        </w:tc>
      </w:tr>
      <w:tr>
        <w:trPr>
          <w:trHeight w:val="195" w:hRule="exac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69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4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0" w:type="dxa"/>
            <w:gridSpan w:val="2"/>
            <w:tcBorders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04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1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3" w:type="dxa"/>
            <w:gridSpan w:val="6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3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7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97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0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1" w:type="dxa"/>
            <w:gridSpan w:val="3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69" w:hRule="atLeast"/>
        </w:trPr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№ 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2987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100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3527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5025" w:type="dxa"/>
            <w:gridSpan w:val="1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Сметная стоимость, руб.</w:t>
            </w:r>
          </w:p>
        </w:tc>
        <w:tc>
          <w:tcPr>
            <w:tcW w:w="48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3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69" w:hRule="atLeast"/>
        </w:trPr>
        <w:tc>
          <w:tcPr>
            <w:tcW w:w="10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987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08" w:type="dxa"/>
            <w:gridSpan w:val="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527" w:type="dxa"/>
            <w:gridSpan w:val="1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25" w:type="dxa"/>
            <w:gridSpan w:val="1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8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3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873" w:hRule="atLeast"/>
        </w:trPr>
        <w:tc>
          <w:tcPr>
            <w:tcW w:w="10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987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08" w:type="dxa"/>
            <w:gridSpan w:val="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04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</w:t>
            </w:r>
            <w:r>
              <w:rPr>
                <w:rFonts w:cs="Arial" w:ascii="Arial" w:hAnsi="Arial"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 изм</w:t>
            </w:r>
          </w:p>
        </w:tc>
        <w:tc>
          <w:tcPr>
            <w:tcW w:w="1332" w:type="dxa"/>
            <w:gridSpan w:val="6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3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1038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 изм в базисном уровне цен</w:t>
            </w:r>
          </w:p>
        </w:tc>
        <w:tc>
          <w:tcPr>
            <w:tcW w:w="714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индекс</w:t>
            </w:r>
          </w:p>
        </w:tc>
        <w:tc>
          <w:tcPr>
            <w:tcW w:w="1097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 изм в текущем уровне цен</w:t>
            </w:r>
          </w:p>
        </w:tc>
        <w:tc>
          <w:tcPr>
            <w:tcW w:w="1333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8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 в текущем уровне цен</w:t>
            </w:r>
          </w:p>
        </w:tc>
        <w:tc>
          <w:tcPr>
            <w:tcW w:w="48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3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98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8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804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32" w:type="dxa"/>
            <w:gridSpan w:val="6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3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38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4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97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33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8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3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</w:tbl>
    <w:p>
      <w:pPr>
        <w:sectPr>
          <w:footerReference w:type="default" r:id="rId25"/>
          <w:footerReference w:type="first" r:id="rId26"/>
          <w:footnotePr>
            <w:numFmt w:val="decimal"/>
            <w:numRestart w:val="eachSect"/>
          </w:footnotePr>
          <w:type w:val="nextPage"/>
          <w:pgSz w:orient="landscape" w:w="16838" w:h="11906"/>
          <w:pgMar w:left="720" w:right="284" w:gutter="0" w:header="0" w:top="426" w:footer="709" w:bottom="924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 № 2 </w:t>
      </w:r>
    </w:p>
    <w:p>
      <w:pPr>
        <w:pStyle w:val="Normal"/>
        <w:spacing w:lineRule="auto" w:line="240" w:before="0" w:after="0"/>
        <w:ind w:firstLine="142" w:left="5811"/>
        <w:jc w:val="right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</w:t>
      </w:r>
    </w:p>
    <w:p>
      <w:pPr>
        <w:pStyle w:val="Normal"/>
        <w:shd w:val="clear" w:color="auto" w:fill="FFFFFF"/>
        <w:spacing w:lineRule="auto" w:line="240" w:before="0" w:after="0"/>
        <w:ind w:hanging="142" w:left="14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Образец № 3п</w:t>
      </w:r>
    </w:p>
    <w:tbl>
      <w:tblPr>
        <w:tblW w:w="992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921"/>
      </w:tblGrid>
      <w:tr>
        <w:trPr/>
        <w:tc>
          <w:tcPr>
            <w:tcW w:w="9921" w:type="dxa"/>
            <w:tcBorders/>
          </w:tcPr>
          <w:p>
            <w:pPr>
              <w:pStyle w:val="Normal"/>
              <w:shd w:val="clear" w:color="auto" w:fill="FFFFFF"/>
              <w:spacing w:lineRule="auto" w:line="240" w:before="0" w:after="0"/>
              <w:ind w:hanging="284" w:left="652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Приложение №_____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 договору от ______№_______ 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(дополнительному соглашению)</w:t>
            </w:r>
          </w:p>
          <w:tbl>
            <w:tblPr>
              <w:tblW w:w="9564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HBand="0" w:noVBand="1" w:firstColumn="1" w:lastRow="0" w:lastColumn="0" w:firstRow="1"/>
            </w:tblPr>
            <w:tblGrid>
              <w:gridCol w:w="4430"/>
              <w:gridCol w:w="5133"/>
            </w:tblGrid>
            <w:tr>
              <w:trPr>
                <w:trHeight w:val="446" w:hRule="atLeast"/>
              </w:trPr>
              <w:tc>
                <w:tcPr>
                  <w:tcW w:w="4430" w:type="dxa"/>
                  <w:tcBorders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________________(Подрядчик)</w:t>
                  </w:r>
                </w:p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 Ф.И.О</w:t>
                  </w:r>
                </w:p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5133" w:type="dxa"/>
                  <w:tcBorders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  <w:p>
                  <w:pPr>
                    <w:pStyle w:val="Normal"/>
                    <w:spacing w:lineRule="auto" w:line="240" w:before="0" w:after="0"/>
                    <w:ind w:left="1886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>
                  <w:pPr>
                    <w:pStyle w:val="Normal"/>
                    <w:spacing w:lineRule="auto" w:line="240" w:before="0" w:after="0"/>
                    <w:ind w:left="1886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_________________(Заказчик)</w:t>
                  </w:r>
                </w:p>
                <w:p>
                  <w:pPr>
                    <w:pStyle w:val="Normal"/>
                    <w:spacing w:lineRule="auto" w:line="240" w:before="0" w:after="0"/>
                    <w:ind w:left="1886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_________________Ф.И.О.</w:t>
                  </w:r>
                </w:p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</w:tc>
            </w:tr>
          </w:tbl>
          <w:p>
            <w:pPr>
              <w:pStyle w:val="Normal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Смета № </w:t>
              <w:br/>
              <w:t>на шеф - монтажные работы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предприятия, здания, сооружения, вида шеф-монтажных работ_____________________________________________________________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монтажной организации 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организации заказчика 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Составлена в текущих ценах, соответствующих периоду выполнения работ по договору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1. Расчет заработной платы</w:t>
            </w:r>
            <w:r>
              <w:rPr>
                <w:rFonts w:ascii="Times New Roman" w:hAnsi="Times New Roman"/>
              </w:rPr>
              <w:tab/>
              <w:tab/>
              <w:tab/>
              <w:tab/>
              <w:tab/>
              <w:tab/>
              <w:tab/>
              <w:tab/>
              <w:t>руб.</w:t>
            </w:r>
          </w:p>
          <w:tbl>
            <w:tblPr>
              <w:tblW w:w="9649" w:type="dxa"/>
              <w:jc w:val="center"/>
              <w:tblInd w:w="0" w:type="dxa"/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  <w:tblLook w:val="04a0" w:noHBand="0" w:noVBand="1" w:firstColumn="1" w:lastRow="0" w:lastColumn="0" w:firstRow="1"/>
            </w:tblPr>
            <w:tblGrid>
              <w:gridCol w:w="575"/>
              <w:gridCol w:w="2209"/>
              <w:gridCol w:w="1107"/>
              <w:gridCol w:w="1185"/>
              <w:gridCol w:w="1417"/>
              <w:gridCol w:w="1417"/>
              <w:gridCol w:w="1738"/>
            </w:tblGrid>
            <w:tr>
              <w:trPr>
                <w:tblHeader w:val="true"/>
              </w:trPr>
              <w:tc>
                <w:tcPr>
                  <w:tcW w:w="575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№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/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п.</w:t>
                  </w:r>
                </w:p>
              </w:tc>
              <w:tc>
                <w:tcPr>
                  <w:tcW w:w="2209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2292" w:type="dxa"/>
                  <w:gridSpan w:val="2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за 1 день</w:t>
                  </w:r>
                </w:p>
              </w:tc>
              <w:tc>
                <w:tcPr>
                  <w:tcW w:w="1738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>
              <w:trPr>
                <w:tblHeader w:val="true"/>
              </w:trPr>
              <w:tc>
                <w:tcPr>
                  <w:tcW w:w="575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09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107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118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1417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417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738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>
                <w:tblHeader w:val="true"/>
              </w:trPr>
              <w:tc>
                <w:tcPr>
                  <w:tcW w:w="5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09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7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85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738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>
              <w:trPr/>
              <w:tc>
                <w:tcPr>
                  <w:tcW w:w="575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209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7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85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38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>
              <w:trPr/>
              <w:tc>
                <w:tcPr>
                  <w:tcW w:w="575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2209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07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8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738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заработной платы, в руб. __________________________________________________________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Расчет стоимости выполнения работ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 Накладные расходы, %_______________________________________________________________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 Себестоимость работ ________________________________________________________________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 Уровень рентабельности, % __________________________________________________________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Итого </w:t>
            </w:r>
            <w:r>
              <w:rPr>
                <w:rFonts w:ascii="Times New Roman" w:hAnsi="Times New Roman"/>
              </w:rPr>
              <w:t>________________________________________________________________________________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Командировочные расходы (по расчету)______________________________________________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Всего (руб.)</w:t>
            </w:r>
            <w:r>
              <w:rPr>
                <w:rFonts w:ascii="Times New Roman" w:hAnsi="Times New Roman"/>
              </w:rPr>
              <w:t xml:space="preserve"> __________________________________________________________________________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ind w:firstLine="207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(сумма прописью)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Составил:________/должность,организация/_______/подпись/___________/расшифровка подписи/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Проверил:_________/должность, организация/_________/подпись/_________/расшифровка подписи/</w:t>
            </w:r>
          </w:p>
        </w:tc>
      </w:tr>
    </w:tbl>
    <w:p>
      <w:pPr>
        <w:pStyle w:val="ConsPlusNormal1"/>
        <w:widowControl/>
        <w:ind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  <w:r>
        <w:br w:type="page"/>
      </w:r>
    </w:p>
    <w:p>
      <w:pPr>
        <w:pStyle w:val="Normal"/>
        <w:spacing w:lineRule="auto" w:line="240" w:before="0" w:after="0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2.1</w:t>
      </w:r>
    </w:p>
    <w:p>
      <w:pPr>
        <w:pStyle w:val="Normal"/>
        <w:spacing w:lineRule="auto" w:line="240" w:before="0" w:after="0"/>
        <w:ind w:left="5811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 Требованиям к оформлению и </w:t>
      </w:r>
    </w:p>
    <w:p>
      <w:pPr>
        <w:pStyle w:val="Normal"/>
        <w:spacing w:lineRule="auto" w:line="240" w:before="0" w:after="0"/>
        <w:ind w:firstLine="857" w:left="5811"/>
        <w:jc w:val="right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sz w:val="20"/>
        </w:rPr>
        <w:t xml:space="preserve">составлению сметной документации </w:t>
      </w:r>
      <w:r>
        <w:rPr>
          <w:rFonts w:ascii="Times New Roman" w:hAnsi="Times New Roman"/>
          <w:color w:val="000000"/>
          <w:sz w:val="20"/>
        </w:rPr>
        <w:t>на выполнение строительно-монтажных работ по программе ремонтов, реконструкции и техническому перевооружению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ПОЯСНИТЕЛЬНАЯ ЗАПИСКА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заполнению формы №3п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при составлении смет на шеф-монтажные, шеф-наладочные работы </w:t>
      </w:r>
    </w:p>
    <w:p>
      <w:pPr>
        <w:pStyle w:val="Normal"/>
        <w:tabs>
          <w:tab w:val="clear" w:pos="709"/>
          <w:tab w:val="left" w:pos="1080" w:leader="none"/>
        </w:tabs>
        <w:spacing w:lineRule="auto" w:line="240" w:before="0"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11"/>
        </w:numPr>
        <w:tabs>
          <w:tab w:val="clear" w:pos="709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При составлении сметного расчета по трудозатратам (форма №3п),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>
      <w:pPr>
        <w:pStyle w:val="Normal"/>
        <w:numPr>
          <w:ilvl w:val="0"/>
          <w:numId w:val="11"/>
        </w:numPr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Расчетом по трудозатратам (форма №3п) рекомендуется определять стоимость работ, цены на которые отсутствуют в СБЦ и СЦ, внесенных в ФРСН.</w:t>
      </w:r>
    </w:p>
    <w:p>
      <w:pPr>
        <w:pStyle w:val="Normal"/>
        <w:numPr>
          <w:ilvl w:val="0"/>
          <w:numId w:val="11"/>
        </w:numPr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Форма сметы для определения затрат по себестоимости и уровню рентабельности (форма №3п) приведена в образце 3П Приложения 2.</w:t>
      </w:r>
    </w:p>
    <w:p>
      <w:pPr>
        <w:pStyle w:val="Normal"/>
        <w:numPr>
          <w:ilvl w:val="0"/>
          <w:numId w:val="11"/>
        </w:numPr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Результаты вычислений и итоговые данные по разделам расчета </w:t>
      </w:r>
      <w:r>
        <w:rPr>
          <w:rFonts w:ascii="Times New Roman" w:hAnsi="Times New Roman"/>
          <w:sz w:val="24"/>
          <w:szCs w:val="24"/>
          <w:u w:val="single"/>
        </w:rPr>
        <w:t>округлять до целых рублей.</w:t>
      </w:r>
    </w:p>
    <w:p>
      <w:pPr>
        <w:pStyle w:val="Normal"/>
        <w:numPr>
          <w:ilvl w:val="0"/>
          <w:numId w:val="11"/>
        </w:numPr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Особенности заполнения формы 3п.</w:t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Раздел 1. Расчет заработной платы: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в графе 1 приводится нумерация выполняемых работ;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в графе 2 приводится наименование выполняемых работ;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в графе 3 указывается количество привлекаемых работников;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нормативным временным нормам;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в графе 7 указывается заработная плата в рублях (</w:t>
      </w:r>
      <w:r>
        <w:rPr>
          <w:rFonts w:eastAsia="Calibri" w:ascii="Times New Roman" w:hAnsi="Times New Roman"/>
          <w:b/>
          <w:sz w:val="24"/>
          <w:szCs w:val="24"/>
          <w:u w:val="single"/>
          <w:lang w:eastAsia="en-US"/>
        </w:rPr>
        <w:t>результат перемножения граф 5 и 6</w:t>
      </w:r>
      <w:r>
        <w:rPr>
          <w:rFonts w:eastAsia="Calibri" w:ascii="Times New Roman" w:hAnsi="Times New Roman"/>
          <w:sz w:val="24"/>
          <w:szCs w:val="24"/>
          <w:lang w:eastAsia="en-US"/>
        </w:rPr>
        <w:t>);</w:t>
      </w:r>
    </w:p>
    <w:p>
      <w:pPr>
        <w:pStyle w:val="Normal"/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 или на базе имеющихся в организации проработок, определяющих нормативы их трудоемкости.</w:t>
      </w:r>
    </w:p>
    <w:p>
      <w:pPr>
        <w:pStyle w:val="Normal"/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Раздел 2. Расчет стоимости выполнения работ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в пункте 2.1 указываются накладные расходы. Данные по оплате труда, накладным расходам, уровню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распорядительным документом организации.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в пункте 2.2 производится расчет себестоимости работ на основании выполненного в разделе 1 расчета заработной платы и накладных расходов (сложение итога графы 7 раздела 1 и пункта 2.1);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уровень рентабельности по отношению к себестоимости может составлять до 15%.</w:t>
      </w:r>
    </w:p>
    <w:p>
      <w:pPr>
        <w:pStyle w:val="Normal"/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сметной документации необходимо приложить все справочные данные по вышеуказанным экономическим характеристикам предприятия в форме официальной справки (образец в Приложении №1 к пояснительной записке по заполнению формы 3П).</w:t>
      </w:r>
    </w:p>
    <w:p>
      <w:pPr>
        <w:pStyle w:val="Normal"/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Раздел 3. Расчет командировочных расходов.</w:t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Командировочные расходы включаются в сметный расчет отдельной строкой (пункт 3 формы 3П) по отдельно выполненному расчету (приложение № 2) с расшифровкой затрат на проезд, проживание, суточные расходы. </w:t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Стоимость проезда необходимо указать по каждому виду транспорта отдельно туда и отдельно обратно.</w:t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Размер расходов на проезд и стоимость проживания в гостинице определяется на момент составления расчета.</w:t>
      </w:r>
    </w:p>
    <w:p>
      <w:pPr>
        <w:pStyle w:val="Normal"/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</w:t>
      </w:r>
      <w:r>
        <w:rPr>
          <w:rFonts w:ascii="Times New Roman" w:hAnsi="Times New Roman"/>
          <w:sz w:val="24"/>
          <w:szCs w:val="24"/>
          <w:highlight w:val="green"/>
        </w:rPr>
        <w:t>актом организации–заказчика.</w:t>
      </w:r>
    </w:p>
    <w:p>
      <w:pPr>
        <w:pStyle w:val="ConsPlusNormal1"/>
        <w:widowControl/>
        <w:tabs>
          <w:tab w:val="clear" w:pos="709"/>
          <w:tab w:val="left" w:pos="567" w:leader="none"/>
          <w:tab w:val="left" w:pos="1134" w:leader="none"/>
        </w:tabs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45" w:name="_Hlk152599994"/>
      <w:r>
        <w:rPr>
          <w:rFonts w:cs="Times New Roman" w:ascii="Times New Roman" w:hAnsi="Times New Roman"/>
          <w:color w:val="000000"/>
          <w:sz w:val="24"/>
          <w:szCs w:val="24"/>
        </w:rPr>
        <w:t xml:space="preserve">Лимиты командировочных расходов при командировании на территории, не относящиеся к районам Крайнего Севера и приравненных к ним местностям, принимать в размере </w:t>
      </w:r>
      <w:r>
        <w:rPr>
          <w:rFonts w:cs="Times New Roman" w:ascii="Times New Roman" w:hAnsi="Times New Roman"/>
          <w:color w:val="000000"/>
          <w:sz w:val="24"/>
          <w:szCs w:val="24"/>
          <w:u w:val="single"/>
        </w:rPr>
        <w:t>не более</w:t>
      </w:r>
      <w:r>
        <w:rPr>
          <w:rFonts w:cs="Times New Roman" w:ascii="Times New Roman" w:hAnsi="Times New Roman"/>
          <w:color w:val="000000"/>
          <w:sz w:val="24"/>
          <w:szCs w:val="24"/>
        </w:rPr>
        <w:t>:</w:t>
      </w:r>
    </w:p>
    <w:p>
      <w:pPr>
        <w:pStyle w:val="ConsPlusNormal1"/>
        <w:numPr>
          <w:ilvl w:val="0"/>
          <w:numId w:val="19"/>
        </w:numPr>
        <w:tabs>
          <w:tab w:val="clear" w:pos="709"/>
          <w:tab w:val="left" w:pos="567" w:leader="none"/>
          <w:tab w:val="left" w:pos="851" w:leader="none"/>
          <w:tab w:val="left" w:pos="1134" w:leader="none"/>
        </w:tabs>
        <w:spacing w:before="40" w:after="40"/>
        <w:ind w:firstLine="567"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суточные – 700 руб./сутки;</w:t>
      </w:r>
    </w:p>
    <w:p>
      <w:pPr>
        <w:pStyle w:val="ConsPlusNormal1"/>
        <w:numPr>
          <w:ilvl w:val="0"/>
          <w:numId w:val="19"/>
        </w:numPr>
        <w:tabs>
          <w:tab w:val="clear" w:pos="709"/>
          <w:tab w:val="left" w:pos="567" w:leader="none"/>
          <w:tab w:val="left" w:pos="851" w:leader="none"/>
          <w:tab w:val="left" w:pos="1134" w:leader="none"/>
        </w:tabs>
        <w:spacing w:before="40" w:after="40"/>
        <w:ind w:firstLine="567"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проживание – до 5000 руб./сутки;</w:t>
      </w:r>
    </w:p>
    <w:p>
      <w:pPr>
        <w:pStyle w:val="ConsPlusNormal1"/>
        <w:numPr>
          <w:ilvl w:val="0"/>
          <w:numId w:val="19"/>
        </w:numPr>
        <w:tabs>
          <w:tab w:val="clear" w:pos="709"/>
          <w:tab w:val="left" w:pos="567" w:leader="none"/>
          <w:tab w:val="left" w:pos="851" w:leader="none"/>
          <w:tab w:val="left" w:pos="1134" w:leader="none"/>
        </w:tabs>
        <w:spacing w:before="40" w:after="40"/>
        <w:ind w:firstLine="567"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проезд: поезд (купе) или самолет (класс–эконом с багажом до 20 (двадцати) кг, ручная кладь до 10 (десяти) кг).</w:t>
      </w:r>
    </w:p>
    <w:p>
      <w:pPr>
        <w:pStyle w:val="ConsPlusNormal1"/>
        <w:widowControl/>
        <w:tabs>
          <w:tab w:val="clear" w:pos="709"/>
          <w:tab w:val="left" w:pos="567" w:leader="none"/>
          <w:tab w:val="left" w:pos="1134" w:leader="none"/>
        </w:tabs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Лимиты командировочных расходов при командировании на территории, относящейся к местностям, приравненным к районам Крайнего Севера, принимать в размере </w:t>
      </w:r>
      <w:r>
        <w:rPr>
          <w:rFonts w:cs="Times New Roman" w:ascii="Times New Roman" w:hAnsi="Times New Roman"/>
          <w:color w:val="000000"/>
          <w:sz w:val="24"/>
          <w:szCs w:val="24"/>
          <w:u w:val="single"/>
        </w:rPr>
        <w:t>не более</w:t>
      </w:r>
      <w:r>
        <w:rPr>
          <w:rFonts w:cs="Times New Roman" w:ascii="Times New Roman" w:hAnsi="Times New Roman"/>
          <w:color w:val="000000"/>
          <w:sz w:val="24"/>
          <w:szCs w:val="24"/>
        </w:rPr>
        <w:t>:</w:t>
      </w:r>
    </w:p>
    <w:p>
      <w:pPr>
        <w:pStyle w:val="ConsPlusNormal1"/>
        <w:numPr>
          <w:ilvl w:val="0"/>
          <w:numId w:val="19"/>
        </w:numPr>
        <w:tabs>
          <w:tab w:val="clear" w:pos="709"/>
          <w:tab w:val="left" w:pos="567" w:leader="none"/>
          <w:tab w:val="left" w:pos="851" w:leader="none"/>
          <w:tab w:val="left" w:pos="1134" w:leader="none"/>
        </w:tabs>
        <w:spacing w:before="40" w:after="40"/>
        <w:ind w:firstLine="567"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суточные – 945 руб./сутки;</w:t>
      </w:r>
    </w:p>
    <w:p>
      <w:pPr>
        <w:pStyle w:val="ConsPlusNormal1"/>
        <w:numPr>
          <w:ilvl w:val="0"/>
          <w:numId w:val="19"/>
        </w:numPr>
        <w:tabs>
          <w:tab w:val="clear" w:pos="709"/>
          <w:tab w:val="left" w:pos="567" w:leader="none"/>
          <w:tab w:val="left" w:pos="851" w:leader="none"/>
          <w:tab w:val="left" w:pos="1134" w:leader="none"/>
        </w:tabs>
        <w:spacing w:before="40" w:after="40"/>
        <w:ind w:firstLine="567"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проживание – до 7000 руб./сутки;</w:t>
      </w:r>
    </w:p>
    <w:p>
      <w:pPr>
        <w:pStyle w:val="ConsPlusNormal1"/>
        <w:numPr>
          <w:ilvl w:val="0"/>
          <w:numId w:val="19"/>
        </w:numPr>
        <w:tabs>
          <w:tab w:val="clear" w:pos="709"/>
          <w:tab w:val="left" w:pos="567" w:leader="none"/>
          <w:tab w:val="left" w:pos="851" w:leader="none"/>
          <w:tab w:val="left" w:pos="1134" w:leader="none"/>
        </w:tabs>
        <w:spacing w:before="40" w:after="40"/>
        <w:ind w:firstLine="567"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46" w:name="_Hlk152599994"/>
      <w:r>
        <w:rPr>
          <w:rFonts w:cs="Times New Roman" w:ascii="Times New Roman" w:hAnsi="Times New Roman"/>
          <w:color w:val="000000"/>
          <w:sz w:val="24"/>
          <w:szCs w:val="24"/>
        </w:rPr>
        <w:t xml:space="preserve">проезд: поезд (купе) или самолет (класс–эконом с багажом </w:t>
        <w:br/>
        <w:t>до 20 (двадцати) кг, ручная кладь до 10 (десяти) кг).</w:t>
      </w:r>
      <w:bookmarkEnd w:id="46"/>
    </w:p>
    <w:p>
      <w:pPr>
        <w:pStyle w:val="Normal"/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/>
          <w:b/>
          <w:i/>
          <w:i/>
          <w:color w:val="FF0000"/>
          <w:sz w:val="24"/>
          <w:szCs w:val="24"/>
          <w:lang w:eastAsia="en-US"/>
        </w:rPr>
      </w:pPr>
      <w:r>
        <w:rPr>
          <w:rFonts w:ascii="Times New Roman" w:hAnsi="Times New Roman"/>
          <w:b/>
          <w:i/>
          <w:color w:val="FF0000"/>
          <w:sz w:val="24"/>
          <w:szCs w:val="24"/>
        </w:rPr>
        <w:t>Данные лимиты могут быть пересмотрены на этапе согласования технических требований.</w:t>
      </w:r>
    </w:p>
    <w:p>
      <w:pPr>
        <w:pStyle w:val="Normal"/>
        <w:tabs>
          <w:tab w:val="clear" w:pos="709"/>
          <w:tab w:val="left" w:pos="567" w:leader="none"/>
          <w:tab w:val="left" w:pos="1134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При учете командировочных расходов стоимость проезда (авиа-, ж/д, …) и проживания определяется методами, предусмотренными Методикой ПЦ </w:t>
      </w:r>
      <w:bookmarkStart w:id="47" w:name="_Hlk152600032"/>
      <w:r>
        <w:rPr>
          <w:rFonts w:eastAsia="Calibri" w:ascii="Times New Roman" w:hAnsi="Times New Roman"/>
          <w:sz w:val="24"/>
          <w:szCs w:val="24"/>
          <w:lang w:eastAsia="en-US"/>
        </w:rPr>
        <w:t>(методы без использования сметных нормативов)</w:t>
      </w:r>
      <w:bookmarkEnd w:id="47"/>
      <w:r>
        <w:rPr>
          <w:rFonts w:eastAsia="Calibri" w:ascii="Times New Roman" w:hAnsi="Times New Roman"/>
          <w:sz w:val="24"/>
          <w:szCs w:val="24"/>
          <w:lang w:eastAsia="en-US"/>
        </w:rPr>
        <w:t>.</w:t>
      </w:r>
    </w:p>
    <w:p>
      <w:pPr>
        <w:sectPr>
          <w:footerReference w:type="default" r:id="rId27"/>
          <w:footerReference w:type="first" r:id="rId28"/>
          <w:footnotePr>
            <w:numFmt w:val="decimal"/>
            <w:numRestart w:val="eachSect"/>
          </w:footnotePr>
          <w:type w:val="nextPage"/>
          <w:pgSz w:w="11906" w:h="16838"/>
          <w:pgMar w:left="1276" w:right="709" w:gutter="0" w:header="0" w:top="851" w:footer="709" w:bottom="766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9"/>
          <w:tab w:val="left" w:pos="567" w:leader="none"/>
          <w:tab w:val="left" w:pos="1134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 они относятся.</w:t>
      </w:r>
    </w:p>
    <w:p>
      <w:pPr>
        <w:pStyle w:val="Normal"/>
        <w:spacing w:lineRule="auto" w:line="240" w:before="0" w:after="0"/>
        <w:ind w:left="5811"/>
        <w:contextualSpacing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0"/>
        </w:rPr>
        <w:t xml:space="preserve"> №1</w:t>
      </w:r>
    </w:p>
    <w:p>
      <w:pPr>
        <w:pStyle w:val="Normal"/>
        <w:spacing w:lineRule="auto" w:line="240" w:before="0" w:after="0"/>
        <w:ind w:left="5811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пояснительной записке</w:t>
      </w:r>
    </w:p>
    <w:p>
      <w:pPr>
        <w:pStyle w:val="Normal"/>
        <w:spacing w:lineRule="auto" w:line="240" w:before="0" w:after="0"/>
        <w:ind w:left="5811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по заполнению формы 3П</w:t>
      </w:r>
    </w:p>
    <w:p>
      <w:pPr>
        <w:pStyle w:val="Normal"/>
        <w:spacing w:lineRule="auto" w:line="240" w:before="0" w:after="0"/>
        <w:ind w:left="5811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СПРАВКА от__________ (указать дату составления </w:t>
      </w:r>
      <w:r>
        <w:rPr>
          <w:rFonts w:ascii="Times New Roman" w:hAnsi="Times New Roman"/>
          <w:b/>
          <w:highlight w:val="green"/>
        </w:rPr>
        <w:t>и период действия</w:t>
      </w:r>
      <w:r>
        <w:rPr>
          <w:rFonts w:ascii="Times New Roman" w:hAnsi="Times New Roman"/>
          <w:b/>
        </w:rPr>
        <w:t xml:space="preserve"> справки) (Образец)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8793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747"/>
        <w:gridCol w:w="3942"/>
        <w:gridCol w:w="3104"/>
      </w:tblGrid>
      <w:tr>
        <w:trPr>
          <w:trHeight w:val="325" w:hRule="atLeast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 </w:t>
            </w:r>
            <w:r>
              <w:rPr>
                <w:rFonts w:ascii="Times New Roman" w:hAnsi="Times New Roman"/>
                <w:color w:val="000000"/>
              </w:rPr>
              <w:t>п/п</w:t>
            </w:r>
          </w:p>
        </w:tc>
        <w:tc>
          <w:tcPr>
            <w:tcW w:w="39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>
        <w:trPr>
          <w:trHeight w:val="630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>
        <w:trPr>
          <w:trHeight w:val="581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>
        <w:trPr>
          <w:trHeight w:val="634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Накладные расходы _______(%)</w:t>
        <w:tab/>
        <w:tab/>
        <w:tab/>
        <w:tab/>
        <w:tab/>
        <w:tab/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Рентабельность предприятия_________(%)</w:t>
        <w:tab/>
        <w:tab/>
        <w:tab/>
        <w:tab/>
        <w:tab/>
        <w:tab/>
        <w:t xml:space="preserve"> 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Дата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(Должность единоличного исполнительного органа контрагента/подрядчика)</w:t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организации) ________________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(Главный бухгалтер)</w:t>
      </w:r>
      <w:r>
        <w:rPr>
          <w:rStyle w:val="FootnoteReference"/>
          <w:rFonts w:ascii="Times New Roman" w:hAnsi="Times New Roman"/>
          <w:vertAlign w:val="superscript"/>
        </w:rPr>
        <w:footnoteReference w:id="11"/>
      </w:r>
      <w:r>
        <w:rPr>
          <w:rFonts w:ascii="Times New Roman" w:hAnsi="Times New Roman"/>
        </w:rPr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 контрагента/подрядчика) 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sectPr>
          <w:footerReference w:type="default" r:id="rId29"/>
          <w:footerReference w:type="first" r:id="rId30"/>
          <w:footnotePr>
            <w:numFmt w:val="decimal"/>
            <w:numRestart w:val="eachSect"/>
          </w:footnotePr>
          <w:type w:val="nextPage"/>
          <w:pgSz w:w="11906" w:h="16838"/>
          <w:pgMar w:left="1134" w:right="1134" w:gutter="0" w:header="0" w:top="851" w:footer="709" w:bottom="1418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</w:p>
    <w:p>
      <w:pPr>
        <w:pStyle w:val="ConsPlusNormal1"/>
        <w:widowControl/>
        <w:ind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№2</w:t>
      </w:r>
    </w:p>
    <w:p>
      <w:pPr>
        <w:pStyle w:val="Normal"/>
        <w:spacing w:lineRule="auto" w:line="240" w:before="0" w:after="0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пояснительной записке</w:t>
      </w:r>
    </w:p>
    <w:p>
      <w:pPr>
        <w:pStyle w:val="Normal"/>
        <w:spacing w:lineRule="auto" w:line="240" w:before="0" w:after="0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по заполнению формы 3П</w:t>
      </w:r>
    </w:p>
    <w:p>
      <w:pPr>
        <w:pStyle w:val="Normal"/>
        <w:spacing w:lineRule="auto" w:line="240" w:before="0" w:after="0"/>
        <w:ind w:left="581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Образец расчета командировочных расходов </w:t>
      </w:r>
    </w:p>
    <w:p>
      <w:pPr>
        <w:pStyle w:val="Normal"/>
        <w:spacing w:lineRule="auto" w:line="240" w:before="0" w:after="0"/>
        <w:ind w:hanging="56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__ к смете № __</w:t>
      </w:r>
    </w:p>
    <w:p>
      <w:pPr>
        <w:pStyle w:val="Normal"/>
        <w:spacing w:lineRule="auto" w:line="240" w:before="0" w:after="0"/>
        <w:ind w:hanging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Расчет командировочных расходов</w:t>
      </w:r>
    </w:p>
    <w:p>
      <w:pPr>
        <w:pStyle w:val="Normal"/>
        <w:spacing w:lineRule="auto" w:line="240" w:before="0" w:after="0"/>
        <w:ind w:left="6373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tbl>
      <w:tblPr>
        <w:tblW w:w="14850" w:type="dxa"/>
        <w:jc w:val="left"/>
        <w:tblInd w:w="-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493"/>
        <w:gridCol w:w="2052"/>
        <w:gridCol w:w="1844"/>
        <w:gridCol w:w="1984"/>
        <w:gridCol w:w="2125"/>
        <w:gridCol w:w="1276"/>
        <w:gridCol w:w="1702"/>
        <w:gridCol w:w="1700"/>
        <w:gridCol w:w="1672"/>
      </w:tblGrid>
      <w:tr>
        <w:trPr/>
        <w:tc>
          <w:tcPr>
            <w:tcW w:w="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п/п</w:t>
            </w:r>
          </w:p>
        </w:tc>
        <w:tc>
          <w:tcPr>
            <w:tcW w:w="205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Пункт назначения</w:t>
            </w:r>
          </w:p>
        </w:tc>
        <w:tc>
          <w:tcPr>
            <w:tcW w:w="184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специалистов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Проезд к месту командировки (туда и обратно)</w:t>
            </w:r>
          </w:p>
        </w:tc>
        <w:tc>
          <w:tcPr>
            <w:tcW w:w="21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Проживание в номере гостиницы класса "3 звезды", </w:t>
            </w:r>
          </w:p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 чел/сутки.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Суточные</w:t>
            </w:r>
          </w:p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 сутки/руб.</w:t>
            </w:r>
          </w:p>
        </w:tc>
        <w:tc>
          <w:tcPr>
            <w:tcW w:w="17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Продолжи-тельность командировки, сутки</w:t>
            </w:r>
          </w:p>
        </w:tc>
        <w:tc>
          <w:tcPr>
            <w:tcW w:w="17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Продолжи-тельность проживания в гостинице, сутки</w:t>
            </w:r>
          </w:p>
        </w:tc>
        <w:tc>
          <w:tcPr>
            <w:tcW w:w="167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Итого затрат, рубли</w:t>
            </w:r>
          </w:p>
        </w:tc>
      </w:tr>
      <w:tr>
        <w:trPr/>
        <w:tc>
          <w:tcPr>
            <w:tcW w:w="4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205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21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70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167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</w:tr>
      <w:tr>
        <w:trPr/>
        <w:tc>
          <w:tcPr>
            <w:tcW w:w="4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05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7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4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05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7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4389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Итого по сметному расчету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7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ConsPlusNormal1"/>
        <w:jc w:val="both"/>
        <w:rPr>
          <w:rFonts w:ascii="Times New Roman" w:hAnsi="Times New Roman" w:eastAsia="Calibri" w:cs="Times New Roman" w:eastAsiaTheme="minorHAnsi"/>
          <w:sz w:val="22"/>
          <w:szCs w:val="22"/>
        </w:rPr>
      </w:pPr>
      <w:r>
        <w:rPr>
          <w:rFonts w:eastAsia="Calibri" w:cs="Times New Roman" w:eastAsiaTheme="minorHAnsi"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ind w:right="2947"/>
        <w:jc w:val="both"/>
        <w:rPr>
          <w:rFonts w:ascii="Times New Roman" w:hAnsi="Times New Roman"/>
          <w:sz w:val="20"/>
          <w:szCs w:val="20"/>
        </w:rPr>
      </w:pPr>
      <w:bookmarkStart w:id="48" w:name="_Hlk152600818"/>
      <w:r>
        <w:rPr>
          <w:rFonts w:ascii="Times New Roman" w:hAnsi="Times New Roman"/>
          <w:sz w:val="20"/>
          <w:szCs w:val="20"/>
        </w:rPr>
        <w:t>Руководитель проектной организации ________________________________________________________________________________</w:t>
      </w:r>
    </w:p>
    <w:p>
      <w:pPr>
        <w:pStyle w:val="Normal"/>
        <w:spacing w:lineRule="auto" w:line="240" w:before="0" w:after="0"/>
        <w:ind w:right="2947"/>
        <w:jc w:val="center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[подпись (инициалы, фамилия)]</w:t>
      </w:r>
    </w:p>
    <w:p>
      <w:pPr>
        <w:pStyle w:val="Normal"/>
        <w:spacing w:lineRule="auto" w:line="240" w:before="0" w:after="0"/>
        <w:ind w:right="2947"/>
        <w:jc w:val="both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</w:r>
    </w:p>
    <w:p>
      <w:pPr>
        <w:pStyle w:val="Normal"/>
        <w:spacing w:lineRule="auto" w:line="240" w:before="0" w:after="0"/>
        <w:ind w:right="294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Главный инженер проекта _____________________________________________________________________________________________</w:t>
      </w:r>
    </w:p>
    <w:p>
      <w:pPr>
        <w:pStyle w:val="Normal"/>
        <w:spacing w:lineRule="auto" w:line="240" w:before="0" w:after="0"/>
        <w:ind w:right="2947"/>
        <w:jc w:val="center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[подпись (инициалы, фамилия)]</w:t>
      </w:r>
    </w:p>
    <w:p>
      <w:pPr>
        <w:pStyle w:val="Normal"/>
        <w:spacing w:lineRule="auto" w:line="240" w:before="0" w:after="0"/>
        <w:ind w:right="2947"/>
        <w:jc w:val="both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</w:r>
    </w:p>
    <w:p>
      <w:pPr>
        <w:pStyle w:val="Normal"/>
        <w:spacing w:lineRule="auto" w:line="240" w:before="0" w:after="0"/>
        <w:ind w:right="294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Начальник ______________________ отдела __________________________________________________________</w:t>
      </w:r>
    </w:p>
    <w:p>
      <w:pPr>
        <w:pStyle w:val="Normal"/>
        <w:spacing w:lineRule="auto" w:line="240" w:before="0" w:after="0"/>
        <w:ind w:right="2947"/>
        <w:jc w:val="both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                             </w:t>
      </w:r>
      <w:r>
        <w:rPr>
          <w:rFonts w:ascii="Times New Roman" w:hAnsi="Times New Roman"/>
          <w:i/>
          <w:iCs/>
          <w:sz w:val="20"/>
          <w:szCs w:val="20"/>
        </w:rPr>
        <w:t>(наименование)                                                                        [подпись (инициалы, фамилия)]</w:t>
      </w:r>
    </w:p>
    <w:p>
      <w:pPr>
        <w:pStyle w:val="Normal"/>
        <w:spacing w:lineRule="auto" w:line="240" w:before="0" w:after="0"/>
        <w:ind w:right="2947"/>
        <w:jc w:val="both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</w:r>
    </w:p>
    <w:p>
      <w:pPr>
        <w:pStyle w:val="Normal"/>
        <w:spacing w:lineRule="auto" w:line="240" w:before="0" w:after="0"/>
        <w:ind w:right="294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Заказчик ___________________________________________________________________________________</w:t>
      </w:r>
    </w:p>
    <w:p>
      <w:pPr>
        <w:pStyle w:val="Normal"/>
        <w:spacing w:lineRule="auto" w:line="240" w:before="0" w:after="0"/>
        <w:ind w:right="2947"/>
        <w:jc w:val="center"/>
        <w:rPr>
          <w:rFonts w:ascii="Times New Roman" w:hAnsi="Times New Roman"/>
          <w:i/>
          <w:i/>
          <w:iCs/>
          <w:sz w:val="20"/>
          <w:szCs w:val="20"/>
        </w:rPr>
      </w:pPr>
      <w:bookmarkStart w:id="49" w:name="_Hlk152600818"/>
      <w:r>
        <w:rPr>
          <w:rFonts w:ascii="Times New Roman" w:hAnsi="Times New Roman"/>
          <w:i/>
          <w:iCs/>
          <w:sz w:val="20"/>
          <w:szCs w:val="20"/>
        </w:rPr>
        <w:t>[должность, подпись (инициалы, фамилия)]</w:t>
      </w:r>
      <w:bookmarkEnd w:id="49"/>
    </w:p>
    <w:p>
      <w:pPr>
        <w:pStyle w:val="Normal"/>
        <w:spacing w:lineRule="auto" w:line="240" w:before="0" w:after="0"/>
        <w:ind w:hanging="567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p>
      <w:pPr>
        <w:sectPr>
          <w:footerReference w:type="default" r:id="rId33"/>
          <w:footerReference w:type="first" r:id="rId34"/>
          <w:footnotePr>
            <w:numFmt w:val="decimal"/>
            <w:numRestart w:val="eachSect"/>
          </w:footnotePr>
          <w:type w:val="nextPage"/>
          <w:pgSz w:orient="landscape" w:w="16838" w:h="11906"/>
          <w:pgMar w:left="1418" w:right="851" w:gutter="0" w:header="0" w:top="1134" w:footer="709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ind w:left="284"/>
        <w:rPr>
          <w:rFonts w:ascii="Times New Roman" w:hAnsi="Times New Roman"/>
          <w:sz w:val="20"/>
          <w:szCs w:val="20"/>
        </w:rPr>
      </w:pPr>
      <w:r>
        <w:rPr/>
        <w:object>
          <v:shapetype id="_x0000_tole_rId31" coordsize="21600,21600" o:spt="ole_rId31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31" type="_x0000_tole_rId31" style="width:79.45pt;height:50.65pt;mso-wrap-distance-right:0pt" filled="f" o:ole="">
            <v:imagedata r:id="rId32" o:title=""/>
          </v:shape>
          <o:OLEObject Type="Embed" ProgID="Excel.Sheet.12" ShapeID="ole_rId31" DrawAspect="Icon" ObjectID="_1961361275" r:id="rId31"/>
        </w:object>
      </w:r>
    </w:p>
    <w:p>
      <w:pPr>
        <w:pStyle w:val="Normal"/>
        <w:spacing w:lineRule="auto" w:line="240" w:before="0" w:after="0"/>
        <w:ind w:left="6373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Style w:val="Style15"/>
          <w:rFonts w:ascii="Times New Roman" w:hAnsi="Times New Roman"/>
          <w:iCs/>
        </w:rPr>
      </w:pPr>
      <w:r>
        <w:rPr>
          <w:rStyle w:val="Style15"/>
          <w:rFonts w:ascii="Times New Roman" w:hAnsi="Times New Roman"/>
          <w:iCs/>
        </w:rPr>
        <w:t>Приложение № 3</w:t>
      </w:r>
    </w:p>
    <w:p>
      <w:pPr>
        <w:pStyle w:val="Normal"/>
        <w:widowControl w:val="false"/>
        <w:pBdr>
          <w:bottom w:val="single" w:sz="4" w:space="1" w:color="000000"/>
        </w:pBdr>
        <w:tabs>
          <w:tab w:val="clear" w:pos="709"/>
          <w:tab w:val="left" w:pos="426" w:leader="none"/>
        </w:tabs>
        <w:spacing w:lineRule="auto" w:line="240" w:before="0" w:after="0"/>
        <w:jc w:val="right"/>
        <w:rPr>
          <w:rFonts w:ascii="Times New Roman" w:hAnsi="Times New Roman"/>
        </w:rPr>
      </w:pPr>
      <w:r>
        <w:rPr>
          <w:rStyle w:val="Style15"/>
          <w:rFonts w:ascii="Times New Roman" w:hAnsi="Times New Roman"/>
          <w:iCs/>
        </w:rPr>
        <w:t xml:space="preserve">к Основным положениям </w:t>
        <w:br/>
        <w:t xml:space="preserve">по установлению требований к оформлению </w:t>
        <w:br/>
        <w:t xml:space="preserve">и составлению сметной документации </w:t>
      </w:r>
    </w:p>
    <w:p>
      <w:pPr>
        <w:pStyle w:val="ConsPlusNormal1"/>
        <w:widowControl/>
        <w:ind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оформлению и составлению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расчетов на выполнение работ/услуг по программе технического обслуживания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энергооборудования, сетей, зданий и сооружений.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i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center"/>
        <w:rPr>
          <w:rFonts w:ascii="Times New Roman" w:hAnsi="Times New Roman"/>
          <w:b/>
          <w:i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Общая часть </w:t>
      </w:r>
    </w:p>
    <w:p>
      <w:pPr>
        <w:pStyle w:val="ConsPlusNormal1"/>
        <w:widowControl/>
        <w:jc w:val="both"/>
        <w:rPr>
          <w:rFonts w:ascii="Times New Roman" w:hAnsi="Times New Roman" w:cs="Times New Roman"/>
          <w:color w:val="000000"/>
          <w:sz w:val="24"/>
          <w:szCs w:val="24"/>
          <w:highlight w:val="green"/>
        </w:rPr>
      </w:pPr>
      <w:r>
        <w:rPr>
          <w:rFonts w:cs="Times New Roman" w:ascii="Times New Roman" w:hAnsi="Times New Roman"/>
          <w:color w:val="000000"/>
          <w:sz w:val="24"/>
          <w:szCs w:val="24"/>
          <w:highlight w:val="green"/>
        </w:rPr>
        <w:t>Основные условия ценообразования изложены в приложении № к настоящим требованиям и являются неотъемлемой частью требований к составлению сметной документации.</w:t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 стоимости выполнения работ/услуг по ТО составляется на основании технических требований (далее – ТТ) филиалов и ПО ПАО «РусГидро». Специалистами технической службы филиалов и ПО заполняется форма «Перечень типовых работ по Техническому обслуживанию» (приложение №1), в которой указываются исходные данные, необходимые для определения стоимости ТО: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993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производственный актив;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993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наименование/состав типовой работы;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993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воздействий на единицу оборудования;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993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единиц оборудования;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993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периодичность выполнения работ;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993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номенклатура материально-технических ресурсов;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993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номенклатура механизмов.</w:t>
      </w:r>
    </w:p>
    <w:p>
      <w:pPr>
        <w:pStyle w:val="ListParagraph"/>
        <w:tabs>
          <w:tab w:val="clear" w:pos="709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 стоимости выполнения работ/услуг по ТО (Приложение №2) составляется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 следующим </w:t>
      </w:r>
      <w:r>
        <w:rPr>
          <w:rFonts w:ascii="Times New Roman" w:hAnsi="Times New Roman"/>
          <w:b/>
          <w:sz w:val="24"/>
          <w:szCs w:val="24"/>
        </w:rPr>
        <w:t>Перечням основных видов типовых работ по ТО:</w:t>
      </w:r>
    </w:p>
    <w:p>
      <w:pPr>
        <w:pStyle w:val="ListParagraph"/>
        <w:numPr>
          <w:ilvl w:val="0"/>
          <w:numId w:val="9"/>
        </w:numPr>
        <w:tabs>
          <w:tab w:val="clear" w:pos="709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 основного оборудования тепловой генерации (турбины, котлы, генераторы), вспомогательного оборудования;</w:t>
      </w:r>
    </w:p>
    <w:p>
      <w:pPr>
        <w:pStyle w:val="ListParagraph"/>
        <w:numPr>
          <w:ilvl w:val="0"/>
          <w:numId w:val="9"/>
        </w:numPr>
        <w:tabs>
          <w:tab w:val="clear" w:pos="709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 электрооборудования, ВЛ, ПС.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 основного оборудования (гидроагрегатов) и их вспомогательного оборудования и систем;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 ГТС, зданий и прочих сооружений;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 прочих систем и сетей;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 силовых трансформаторов и оборудования распределительных устройств;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 систем собственных нужд;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Клининг (содержание дорог, территории, зданий и сооружений, озеленение).</w:t>
      </w:r>
    </w:p>
    <w:p>
      <w:pPr>
        <w:pStyle w:val="ListParagraph"/>
        <w:tabs>
          <w:tab w:val="clear" w:pos="709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определения стоимости выполнения работ/услуг по ТО необходимо определить следующие затраты: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оплата труда рабочих, накладные расходы и сметная прибыль;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стоимость материалов;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стоимость механизмов.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567"/>
        <w:jc w:val="center"/>
        <w:rPr>
          <w:rFonts w:ascii="Times New Roman" w:hAnsi="Times New Roman"/>
          <w:b/>
          <w:i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</w:r>
    </w:p>
    <w:p>
      <w:pPr>
        <w:pStyle w:val="Normal"/>
        <w:tabs>
          <w:tab w:val="clear" w:pos="709"/>
          <w:tab w:val="left" w:pos="426" w:leader="none"/>
          <w:tab w:val="left" w:pos="993" w:leader="none"/>
          <w:tab w:val="left" w:pos="1134" w:leader="none"/>
        </w:tabs>
        <w:spacing w:lineRule="auto" w:line="240" w:before="0" w:after="0"/>
        <w:ind w:firstLine="567"/>
        <w:jc w:val="center"/>
        <w:rPr>
          <w:rFonts w:ascii="Times New Roman" w:hAnsi="Times New Roman"/>
          <w:b/>
          <w:i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</w:r>
    </w:p>
    <w:p>
      <w:pPr>
        <w:pStyle w:val="Normal"/>
        <w:tabs>
          <w:tab w:val="clear" w:pos="709"/>
          <w:tab w:val="left" w:pos="426" w:leader="none"/>
          <w:tab w:val="left" w:pos="993" w:leader="none"/>
          <w:tab w:val="left" w:pos="1134" w:leader="none"/>
        </w:tabs>
        <w:spacing w:lineRule="auto" w:line="240" w:before="0" w:after="0"/>
        <w:ind w:firstLine="567"/>
        <w:jc w:val="center"/>
        <w:rPr>
          <w:rFonts w:ascii="Times New Roman" w:hAnsi="Times New Roman"/>
          <w:b/>
          <w:i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Оплата труда, накладные расходы и сметная прибыль.</w:t>
      </w:r>
    </w:p>
    <w:p>
      <w:pPr>
        <w:pStyle w:val="Normal"/>
        <w:tabs>
          <w:tab w:val="clear" w:pos="709"/>
          <w:tab w:val="left" w:pos="900" w:leader="none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Затраты на оплату труда определяются на основании трудоемкости, среднего разряда работы/услуги, стоимости человека-часа.</w:t>
      </w:r>
    </w:p>
    <w:p>
      <w:pPr>
        <w:pStyle w:val="Normal"/>
        <w:tabs>
          <w:tab w:val="clear" w:pos="709"/>
          <w:tab w:val="left" w:pos="900" w:leader="none"/>
          <w:tab w:val="left" w:pos="1134" w:leader="none"/>
          <w:tab w:val="left" w:pos="1418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Трудоемкость определяется на основании расценок сборников, справочников: ЕНиР, ГЭСН, ведомственные сборники (ВНиР, ВУЕР, БЦ и т.д.), иные сборники, содержащие данные о трудоемкости выполняемых работ и т.д. В случае отсутствия расценок, допустимо трудозатраты принимать по фактическим данным, при обязательном согласовании их со специалистами технической службы филиала (ПО, станции).</w:t>
      </w:r>
    </w:p>
    <w:p>
      <w:pPr>
        <w:pStyle w:val="Normal"/>
        <w:tabs>
          <w:tab w:val="clear" w:pos="709"/>
          <w:tab w:val="left" w:pos="900" w:leader="none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выборе расценки следует руководствоваться следующими критериями: 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993" w:leader="none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наименование;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993" w:leader="none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работ в расценке должен соответствовать фактически выполняемой работе;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993" w:leader="none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трудоемкость, соответствующая фактически выполняемой работе.</w:t>
      </w:r>
    </w:p>
    <w:p>
      <w:pPr>
        <w:pStyle w:val="Normal"/>
        <w:tabs>
          <w:tab w:val="clear" w:pos="709"/>
          <w:tab w:val="left" w:pos="900" w:leader="none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Средний разряд работы/услуги, рассчитанный как средневзвешенный с учетом удельного веса трудозатрат с соответствующим разрядом, указывается на основании принятых расценок.</w:t>
      </w:r>
    </w:p>
    <w:p>
      <w:pPr>
        <w:pStyle w:val="Normal"/>
        <w:tabs>
          <w:tab w:val="clear" w:pos="709"/>
          <w:tab w:val="left" w:pos="900" w:leader="none"/>
          <w:tab w:val="left" w:pos="1134" w:leader="none"/>
        </w:tabs>
        <w:spacing w:lineRule="auto" w:line="240" w:before="0" w:after="0"/>
        <w:ind w:firstLine="567"/>
        <w:jc w:val="center"/>
        <w:rPr>
          <w:rFonts w:ascii="Times New Roman" w:hAnsi="Times New Roman"/>
          <w:i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  <w:highlight w:val="lightGray"/>
        </w:rPr>
      </w:pPr>
      <w:r>
        <w:rPr>
          <w:rFonts w:ascii="Times New Roman" w:hAnsi="Times New Roman"/>
          <w:sz w:val="24"/>
          <w:szCs w:val="24"/>
          <w:highlight w:val="lightGray"/>
        </w:rPr>
        <w:t xml:space="preserve">При расчете </w:t>
      </w:r>
      <w:r>
        <w:rPr>
          <w:rFonts w:ascii="Times New Roman" w:hAnsi="Times New Roman"/>
          <w:sz w:val="24"/>
          <w:szCs w:val="24"/>
          <w:highlight w:val="lightGray"/>
          <w:u w:val="single"/>
        </w:rPr>
        <w:t>базисно-индексным методом</w:t>
      </w:r>
      <w:r>
        <w:rPr>
          <w:rFonts w:ascii="Times New Roman" w:hAnsi="Times New Roman"/>
          <w:sz w:val="24"/>
          <w:szCs w:val="24"/>
          <w:highlight w:val="lightGray"/>
        </w:rPr>
        <w:t xml:space="preserve"> стоимость человеко-часа, соответствующая принятому разряду, определяется по сборнику Тарифных ставок ТС 2001, внесенному в ФРСН, по разделу «Часовая оплата труда рабочих-строителей» и учитывает все расходы, учтенные по статье: «Расходы на оплату труда рабочих». </w:t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  <w:highlight w:val="lightGray"/>
        </w:rPr>
      </w:pPr>
      <w:r>
        <w:rPr>
          <w:rFonts w:ascii="Times New Roman" w:hAnsi="Times New Roman"/>
          <w:sz w:val="24"/>
          <w:szCs w:val="24"/>
          <w:highlight w:val="lightGray"/>
        </w:rPr>
        <w:t>Принимается по состоянию на 01.01.2000г: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993" w:leader="none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  <w:highlight w:val="lightGray"/>
        </w:rPr>
      </w:pPr>
      <w:r>
        <w:rPr>
          <w:rFonts w:ascii="Times New Roman" w:hAnsi="Times New Roman"/>
          <w:sz w:val="24"/>
          <w:szCs w:val="24"/>
          <w:highlight w:val="lightGray"/>
        </w:rPr>
        <w:t>1 разряд – 7,19 руб.;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993" w:leader="none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  <w:highlight w:val="lightGray"/>
        </w:rPr>
      </w:pPr>
      <w:r>
        <w:rPr>
          <w:rFonts w:ascii="Times New Roman" w:hAnsi="Times New Roman"/>
          <w:sz w:val="24"/>
          <w:szCs w:val="24"/>
          <w:highlight w:val="lightGray"/>
        </w:rPr>
        <w:t>2 разряд – 7,80 руб.;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993" w:leader="none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  <w:highlight w:val="lightGray"/>
        </w:rPr>
      </w:pPr>
      <w:r>
        <w:rPr>
          <w:rFonts w:ascii="Times New Roman" w:hAnsi="Times New Roman"/>
          <w:sz w:val="24"/>
          <w:szCs w:val="24"/>
          <w:highlight w:val="lightGray"/>
        </w:rPr>
        <w:t>3 разряд – 8,53 руб.;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993" w:leader="none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  <w:highlight w:val="lightGray"/>
        </w:rPr>
      </w:pPr>
      <w:r>
        <w:rPr>
          <w:rFonts w:ascii="Times New Roman" w:hAnsi="Times New Roman"/>
          <w:sz w:val="24"/>
          <w:szCs w:val="24"/>
          <w:highlight w:val="lightGray"/>
        </w:rPr>
        <w:t>4 разряд – 9,62 руб.;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993" w:leader="none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  <w:highlight w:val="lightGray"/>
        </w:rPr>
      </w:pPr>
      <w:r>
        <w:rPr>
          <w:rFonts w:ascii="Times New Roman" w:hAnsi="Times New Roman"/>
          <w:sz w:val="24"/>
          <w:szCs w:val="24"/>
          <w:highlight w:val="lightGray"/>
        </w:rPr>
        <w:t>5 разряд – 11,09 руб.;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993" w:leader="none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  <w:highlight w:val="lightGray"/>
        </w:rPr>
      </w:pPr>
      <w:r>
        <w:rPr>
          <w:rFonts w:ascii="Times New Roman" w:hAnsi="Times New Roman"/>
          <w:sz w:val="24"/>
          <w:szCs w:val="24"/>
          <w:highlight w:val="lightGray"/>
        </w:rPr>
        <w:t>6 разряд – 12,92 руб.</w:t>
      </w:r>
    </w:p>
    <w:p>
      <w:pPr>
        <w:pStyle w:val="Normal"/>
        <w:tabs>
          <w:tab w:val="clear" w:pos="709"/>
          <w:tab w:val="left" w:pos="993" w:leader="none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  <w:highlight w:val="lightGray"/>
        </w:rPr>
      </w:pPr>
      <w:r>
        <w:rPr>
          <w:rFonts w:ascii="Times New Roman" w:hAnsi="Times New Roman"/>
          <w:sz w:val="24"/>
          <w:szCs w:val="24"/>
          <w:highlight w:val="lightGray"/>
        </w:rPr>
        <w:t xml:space="preserve">При расчете </w:t>
      </w:r>
      <w:r>
        <w:rPr>
          <w:rFonts w:ascii="Times New Roman" w:hAnsi="Times New Roman"/>
          <w:sz w:val="24"/>
          <w:szCs w:val="24"/>
          <w:highlight w:val="lightGray"/>
          <w:u w:val="single"/>
        </w:rPr>
        <w:t>ресурсно-индексным методом</w:t>
      </w:r>
      <w:r>
        <w:rPr>
          <w:rFonts w:ascii="Times New Roman" w:hAnsi="Times New Roman"/>
          <w:sz w:val="24"/>
          <w:szCs w:val="24"/>
          <w:highlight w:val="lightGray"/>
        </w:rPr>
        <w:t xml:space="preserve"> стоимость человеко-часа, соответствующая принятому разряду, определяется по ФГИС ЦС;</w:t>
      </w:r>
    </w:p>
    <w:p>
      <w:pPr>
        <w:pStyle w:val="Normal"/>
        <w:tabs>
          <w:tab w:val="clear" w:pos="709"/>
          <w:tab w:val="left" w:pos="993" w:leader="none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lightGray"/>
        </w:rPr>
        <w:t xml:space="preserve">При расчете </w:t>
      </w:r>
      <w:r>
        <w:rPr>
          <w:rFonts w:ascii="Times New Roman" w:hAnsi="Times New Roman"/>
          <w:sz w:val="24"/>
          <w:szCs w:val="24"/>
          <w:highlight w:val="lightGray"/>
          <w:u w:val="single"/>
        </w:rPr>
        <w:t>ресурсным методом</w:t>
      </w:r>
      <w:r>
        <w:rPr>
          <w:rFonts w:ascii="Times New Roman" w:hAnsi="Times New Roman"/>
          <w:sz w:val="24"/>
          <w:szCs w:val="24"/>
          <w:highlight w:val="lightGray"/>
        </w:rPr>
        <w:t xml:space="preserve"> стоимость человеко-часа, соответствующая принятому разряду, определяется по ФГИС ЦС.</w:t>
      </w:r>
    </w:p>
    <w:p>
      <w:pPr>
        <w:pStyle w:val="Normal"/>
        <w:tabs>
          <w:tab w:val="clear" w:pos="709"/>
          <w:tab w:val="left" w:pos="900" w:leader="none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Накладные расходы принимать на работы по ТО принять по индивидуальным нормам в размере, не превышающем норму «Прочие ремонтно-строительные работы» - 92 % (в соответствии с Методикой по разработке и применению накладных расходов при определении сметной стоимости строительства, реконструкции, капитального ремонта, сноса объектов капитального строительства, введенной приказом Минстроя РФ от 21.12.2020 № 812/пр с дополнениями и изменениями).</w:t>
      </w:r>
    </w:p>
    <w:p>
      <w:pPr>
        <w:pStyle w:val="Normal"/>
        <w:tabs>
          <w:tab w:val="clear" w:pos="709"/>
          <w:tab w:val="left" w:pos="900" w:leader="none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Сметную прибыль на работы по ТО принять по индивидуальной норме, не превышающей норму «Прочие ремонтно-строительные работы» - 44% (в соответствии с «Методикой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строительства»,</w:t>
      </w:r>
      <w:r>
        <w:rPr>
          <w:rFonts w:ascii="Times New Roman" w:hAnsi="Times New Roman"/>
          <w:color w:val="000000"/>
          <w:sz w:val="24"/>
          <w:szCs w:val="24"/>
        </w:rPr>
        <w:t xml:space="preserve"> введенной </w:t>
      </w:r>
      <w:r>
        <w:rPr>
          <w:rFonts w:ascii="Times New Roman" w:hAnsi="Times New Roman"/>
          <w:sz w:val="24"/>
          <w:szCs w:val="24"/>
        </w:rPr>
        <w:t xml:space="preserve">приказом Минстроя РФ от 11.12.2020 № 774/пр. с дополнениями и изменениями). </w:t>
      </w:r>
    </w:p>
    <w:p>
      <w:pPr>
        <w:pStyle w:val="Normal"/>
        <w:tabs>
          <w:tab w:val="clear" w:pos="709"/>
          <w:tab w:val="left" w:pos="900" w:leader="none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качестве базы для исчисления накладных расходов и сметной прибыли принимается величина средств на оплату труда</w:t>
      </w:r>
      <w:r>
        <w:rPr>
          <w:rFonts w:ascii="Times New Roman" w:hAnsi="Times New Roman"/>
          <w:b/>
          <w:sz w:val="24"/>
          <w:szCs w:val="24"/>
        </w:rPr>
        <w:t>.</w:t>
      </w:r>
    </w:p>
    <w:p>
      <w:pPr>
        <w:pStyle w:val="Normal"/>
        <w:tabs>
          <w:tab w:val="clear" w:pos="709"/>
          <w:tab w:val="left" w:pos="900" w:leader="none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900" w:leader="none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i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Оплата труда, накладные расходы и сметная прибыль при выполнении работ водолазами</w:t>
      </w:r>
      <w:r>
        <w:rPr>
          <w:rFonts w:ascii="Times New Roman" w:hAnsi="Times New Roman"/>
          <w:i/>
          <w:sz w:val="24"/>
          <w:szCs w:val="24"/>
        </w:rPr>
        <w:t>.</w:t>
      </w:r>
    </w:p>
    <w:p>
      <w:pPr>
        <w:pStyle w:val="Normal"/>
        <w:tabs>
          <w:tab w:val="clear" w:pos="709"/>
          <w:tab w:val="left" w:pos="900" w:leader="none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Расчет предназначен для определения стоимости водолазных услуг по осмотру гидротехнических сооружений. </w:t>
      </w:r>
    </w:p>
    <w:p>
      <w:pPr>
        <w:pStyle w:val="Normal"/>
        <w:tabs>
          <w:tab w:val="clear" w:pos="709"/>
          <w:tab w:val="left" w:pos="900" w:leader="none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Специалистами технической службы филиала указываются факторы, усложняющие водолазные работы (таблица 1). На основании этих данных применяются повышающие коэффициенты, учитывающие условия производства работ.</w:t>
      </w:r>
    </w:p>
    <w:p>
      <w:pPr>
        <w:pStyle w:val="Normal"/>
        <w:spacing w:lineRule="auto" w:line="240" w:before="0" w:after="0"/>
        <w:ind w:firstLine="426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Таблица 1</w:t>
      </w:r>
    </w:p>
    <w:tbl>
      <w:tblPr>
        <w:tblW w:w="10053" w:type="dxa"/>
        <w:jc w:val="center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noHBand="0" w:noVBand="1" w:firstColumn="1" w:lastRow="0" w:lastColumn="0" w:firstRow="1"/>
      </w:tblPr>
      <w:tblGrid>
        <w:gridCol w:w="473"/>
        <w:gridCol w:w="9579"/>
      </w:tblGrid>
      <w:tr>
        <w:trPr/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8"/>
              <w:ind w:hanging="33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№ </w:t>
            </w:r>
            <w:r>
              <w:rPr>
                <w:sz w:val="22"/>
                <w:szCs w:val="22"/>
                <w:lang w:eastAsia="en-US"/>
              </w:rPr>
              <w:t>пп.</w:t>
            </w:r>
          </w:p>
        </w:tc>
        <w:tc>
          <w:tcPr>
            <w:tcW w:w="9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b/>
                <w:i/>
                <w:sz w:val="22"/>
                <w:szCs w:val="22"/>
              </w:rPr>
              <w:t>Особые условия производства работ к конкретной работе, указываемые в примечании к позиции:</w:t>
            </w:r>
          </w:p>
        </w:tc>
      </w:tr>
      <w:tr>
        <w:trPr/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ind w:left="127" w:right="137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Производство водолазных работ на глубине менее 2,5 м и св.12 до 20 м</w:t>
            </w:r>
          </w:p>
        </w:tc>
      </w:tr>
      <w:tr>
        <w:trPr/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ind w:left="127" w:right="137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Производство водолазных работ на глубинах св.20 до 25 м</w:t>
            </w:r>
          </w:p>
        </w:tc>
      </w:tr>
      <w:tr>
        <w:trPr/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ind w:left="127" w:right="137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Производство водолазных работ на глубинах св. 25 до 30 м</w:t>
            </w:r>
          </w:p>
        </w:tc>
      </w:tr>
      <w:tr>
        <w:trPr/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ind w:left="127" w:right="137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Производство водолазных работ на глубинах св. 30 до 35 м</w:t>
            </w:r>
          </w:p>
        </w:tc>
      </w:tr>
      <w:tr>
        <w:trPr/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ind w:left="127" w:right="137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Производство водолазных работ на глубинах св. 35 до 40м</w:t>
            </w:r>
          </w:p>
        </w:tc>
      </w:tr>
      <w:tr>
        <w:trPr/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ind w:left="127" w:right="137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Производство водолазных работ на глубинах св. 35 до 40 м</w:t>
            </w:r>
          </w:p>
        </w:tc>
      </w:tr>
      <w:tr>
        <w:trPr/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ind w:left="127" w:right="137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Производство водолазных работ на глубинах св. 45 до 50 м</w:t>
            </w:r>
          </w:p>
        </w:tc>
      </w:tr>
      <w:tr>
        <w:trPr>
          <w:trHeight w:val="385" w:hRule="atLeast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left="125" w:right="13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Производство водолазных работ на глубинах св. 50 до 55 м</w:t>
            </w:r>
          </w:p>
        </w:tc>
      </w:tr>
      <w:tr>
        <w:trPr>
          <w:trHeight w:val="279" w:hRule="atLeast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9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870" w:leader="none"/>
              </w:tabs>
              <w:spacing w:lineRule="auto" w:line="240" w:before="0" w:after="0"/>
              <w:ind w:left="125" w:right="13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Производство водолазных работ на глубинах св. 55 до 60 м</w:t>
            </w:r>
          </w:p>
        </w:tc>
      </w:tr>
      <w:tr>
        <w:trPr>
          <w:trHeight w:val="652" w:hRule="atLeast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left="125" w:right="13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Производство водолазных работ при температуре воды ниже 4°С (при отсутствии обогревающих костюмов) и выше 37°С, а также при наличии загрязненности воды вредными и токсичными примесями</w:t>
            </w:r>
          </w:p>
        </w:tc>
      </w:tr>
      <w:tr>
        <w:trPr>
          <w:trHeight w:val="296" w:hRule="atLeast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9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left="125" w:right="13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Производство водолазных работ на вязком или захламленном грунте и подо льдом</w:t>
            </w:r>
          </w:p>
        </w:tc>
      </w:tr>
      <w:tr>
        <w:trPr>
          <w:trHeight w:val="652" w:hRule="atLeast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9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left="125" w:right="13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Производство водолазных работ в стесненных условиях (колодцы, тоннели, трубопроводы при расстоянии между сваями, трубами и др. менее 1,5 м)</w:t>
            </w:r>
          </w:p>
        </w:tc>
      </w:tr>
      <w:tr>
        <w:trPr>
          <w:trHeight w:val="338" w:hRule="atLeast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9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left="125" w:right="13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Производство водолазных работ при волнении воды от 2 до 3 баллов</w:t>
            </w:r>
          </w:p>
        </w:tc>
      </w:tr>
      <w:tr>
        <w:trPr>
          <w:trHeight w:val="362" w:hRule="atLeast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9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left="125" w:right="13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Производство водолазных работ при скорости течения от 0,5 до 1 м/с</w:t>
            </w:r>
          </w:p>
        </w:tc>
      </w:tr>
      <w:tr>
        <w:trPr>
          <w:trHeight w:val="373" w:hRule="atLeast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9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left="125" w:right="13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Производство водолазных работ при скорости течения от 1 до 1,5 м/с</w:t>
            </w:r>
          </w:p>
        </w:tc>
      </w:tr>
      <w:tr>
        <w:trPr>
          <w:trHeight w:val="396" w:hRule="atLeast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9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left="125" w:right="13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Производство водолазных работ при радиусе видимости менее 1 м</w:t>
            </w:r>
          </w:p>
        </w:tc>
      </w:tr>
      <w:tr>
        <w:trPr>
          <w:trHeight w:val="418" w:hRule="atLeast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9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left="125" w:right="13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Производство водолазных работ при отсутствии видимости</w:t>
            </w:r>
          </w:p>
        </w:tc>
      </w:tr>
      <w:tr>
        <w:trPr>
          <w:trHeight w:val="402" w:hRule="atLeast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9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left="125" w:right="13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на реках и водоемах с пропуском судов</w:t>
            </w:r>
          </w:p>
        </w:tc>
      </w:tr>
      <w:tr>
        <w:trPr>
          <w:trHeight w:val="380" w:hRule="atLeast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9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left="125" w:right="13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Ширина реки (водоема) по 1 зеркалу воды св.300 до 600 м</w:t>
            </w:r>
          </w:p>
        </w:tc>
      </w:tr>
    </w:tbl>
    <w:p>
      <w:pPr>
        <w:pStyle w:val="Normal"/>
        <w:spacing w:lineRule="auto" w:line="240" w:before="12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Накладные расходы принимать по индивидуальным нормам в размере, не превышающем норму «Подводно-строительные (водолазные) работы» 108% (в соответствии с Методикой по разработке и применению накладных расходов при определении сметной стоимости строительства, реконструкции, капитального ремонта, сноса объектов капитального строительства, введенной приказом Минстроя РФ от 21.12.2020 № 812/пр. с дополнениями и изменениями)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Сметную прибыль принимать по индивидуальной норме, не превышающей норму «Подводно-строительные (водолазные) работы» 55% (в соответствии с «Методикой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строительства», введенной приказом Минстроя РФ от 11.12.2020 № 774/пр. с дополнениями и изменениями)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качестве базы для исчисления накладных расходов и сметной прибыли принимается величина средств на оплату труда.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9"/>
          <w:tab w:val="left" w:pos="426" w:leader="none"/>
          <w:tab w:val="left" w:pos="993" w:leader="none"/>
        </w:tabs>
        <w:spacing w:lineRule="auto" w:line="240" w:before="0" w:after="0"/>
        <w:jc w:val="center"/>
        <w:rPr>
          <w:rFonts w:ascii="Times New Roman" w:hAnsi="Times New Roman"/>
          <w:b/>
          <w:i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Стоимость материалов и оборудования.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Норму расхода материально-технических ресурсов (далее–МТР) определять на основании принятых расценок в соответствии с номенклатурой, указанной в исходных данных.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Стоимость МТР определять: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  <w:highlight w:val="lightGray"/>
        </w:rPr>
      </w:pPr>
      <w:r>
        <w:rPr>
          <w:rFonts w:ascii="Times New Roman" w:hAnsi="Times New Roman"/>
          <w:sz w:val="24"/>
          <w:szCs w:val="24"/>
          <w:highlight w:val="lightGray"/>
        </w:rPr>
        <w:t xml:space="preserve">- </w:t>
      </w:r>
      <w:r>
        <w:rPr>
          <w:rFonts w:ascii="Times New Roman" w:hAnsi="Times New Roman"/>
          <w:sz w:val="24"/>
          <w:szCs w:val="24"/>
          <w:highlight w:val="lightGray"/>
          <w:u w:val="single"/>
        </w:rPr>
        <w:t>при базисно-индексном методе</w:t>
      </w:r>
      <w:r>
        <w:rPr>
          <w:rFonts w:ascii="Times New Roman" w:hAnsi="Times New Roman"/>
          <w:sz w:val="24"/>
          <w:szCs w:val="24"/>
          <w:highlight w:val="lightGray"/>
        </w:rPr>
        <w:t xml:space="preserve"> по ССЦ, входящим в Федеральный реестр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 (далее – ФРСН);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  <w:highlight w:val="lightGray"/>
        </w:rPr>
      </w:pPr>
      <w:r>
        <w:rPr>
          <w:rFonts w:ascii="Times New Roman" w:hAnsi="Times New Roman"/>
          <w:sz w:val="24"/>
          <w:szCs w:val="24"/>
          <w:highlight w:val="lightGray"/>
        </w:rPr>
        <w:t>-</w:t>
      </w:r>
      <w:r>
        <w:rPr>
          <w:rFonts w:ascii="Times New Roman" w:hAnsi="Times New Roman"/>
          <w:sz w:val="24"/>
          <w:szCs w:val="24"/>
          <w:highlight w:val="lightGray"/>
          <w:u w:val="single"/>
        </w:rPr>
        <w:t>при ресурсно-индексном методе</w:t>
      </w:r>
      <w:r>
        <w:rPr>
          <w:rFonts w:ascii="Times New Roman" w:hAnsi="Times New Roman"/>
          <w:sz w:val="24"/>
          <w:szCs w:val="24"/>
          <w:highlight w:val="lightGray"/>
        </w:rPr>
        <w:t xml:space="preserve"> по ФГИС ЦС.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lightGray"/>
        </w:rPr>
        <w:t>-</w:t>
      </w:r>
      <w:r>
        <w:rPr>
          <w:rFonts w:ascii="Times New Roman" w:hAnsi="Times New Roman"/>
          <w:sz w:val="24"/>
          <w:szCs w:val="24"/>
          <w:highlight w:val="lightGray"/>
          <w:u w:val="single"/>
        </w:rPr>
        <w:t>при ресурсном методе</w:t>
      </w:r>
      <w:r>
        <w:rPr>
          <w:rFonts w:ascii="Times New Roman" w:hAnsi="Times New Roman"/>
          <w:sz w:val="24"/>
          <w:szCs w:val="24"/>
          <w:highlight w:val="lightGray"/>
        </w:rPr>
        <w:t xml:space="preserve"> по ФГИС ЦС.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отсутствии материалов в ССЦ и ФГИС ЦС допускается определять стоимость методами, предусмотренными Методикой ПЦ (методы без использования сметных нормативов) </w:t>
      </w:r>
      <w:r>
        <w:rPr>
          <w:rFonts w:ascii="Times New Roman" w:hAnsi="Times New Roman"/>
          <w:b/>
          <w:color w:val="FF0000"/>
          <w:sz w:val="24"/>
          <w:szCs w:val="24"/>
        </w:rPr>
        <w:t>(включить соответствующие требования Методики ПЦ отдельным приложением).</w:t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pStyle w:val="Normal"/>
        <w:tabs>
          <w:tab w:val="left" w:pos="709" w:leader="none"/>
          <w:tab w:val="left" w:pos="993" w:leader="none"/>
        </w:tabs>
        <w:spacing w:lineRule="auto" w:line="240" w:before="0" w:after="0"/>
        <w:ind w:left="426"/>
        <w:jc w:val="center"/>
        <w:rPr>
          <w:rFonts w:ascii="Times New Roman" w:hAnsi="Times New Roman"/>
          <w:b/>
          <w:i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</w:r>
    </w:p>
    <w:p>
      <w:pPr>
        <w:pStyle w:val="Normal"/>
        <w:tabs>
          <w:tab w:val="left" w:pos="709" w:leader="none"/>
          <w:tab w:val="left" w:pos="993" w:leader="none"/>
        </w:tabs>
        <w:spacing w:lineRule="auto" w:line="240" w:before="0" w:after="0"/>
        <w:ind w:left="426"/>
        <w:jc w:val="center"/>
        <w:rPr>
          <w:rFonts w:ascii="Times New Roman" w:hAnsi="Times New Roman"/>
          <w:i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Стоимость эксплуатации механизмов</w:t>
      </w:r>
      <w:r>
        <w:rPr>
          <w:rFonts w:ascii="Times New Roman" w:hAnsi="Times New Roman"/>
          <w:i/>
          <w:sz w:val="24"/>
          <w:szCs w:val="24"/>
        </w:rPr>
        <w:t>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Норму работы механизмов (маш.-час) определять на основании принятых расценок, в соответствии с номенклатурой механизмов, указанной в исходных данных.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50" w:name="P240"/>
      <w:bookmarkEnd w:id="50"/>
      <w:r>
        <w:rPr>
          <w:rFonts w:ascii="Times New Roman" w:hAnsi="Times New Roman"/>
          <w:sz w:val="24"/>
          <w:szCs w:val="24"/>
        </w:rPr>
        <w:t>Стоимость эксплуатации машин и механизмов определять: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  <w:highlight w:val="lightGray"/>
        </w:rPr>
      </w:pPr>
      <w:r>
        <w:rPr>
          <w:rFonts w:ascii="Times New Roman" w:hAnsi="Times New Roman"/>
          <w:sz w:val="24"/>
          <w:szCs w:val="24"/>
          <w:highlight w:val="lightGray"/>
        </w:rPr>
        <w:t xml:space="preserve">- при </w:t>
      </w:r>
      <w:r>
        <w:rPr>
          <w:rFonts w:ascii="Times New Roman" w:hAnsi="Times New Roman"/>
          <w:sz w:val="24"/>
          <w:szCs w:val="24"/>
          <w:highlight w:val="lightGray"/>
          <w:u w:val="single"/>
        </w:rPr>
        <w:t>базисно-индексном методе</w:t>
      </w:r>
      <w:r>
        <w:rPr>
          <w:rFonts w:ascii="Times New Roman" w:hAnsi="Times New Roman"/>
          <w:sz w:val="24"/>
          <w:szCs w:val="24"/>
          <w:highlight w:val="lightGray"/>
        </w:rPr>
        <w:t xml:space="preserve"> - по ФСЭМ, входящему в ФРСН; 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  <w:highlight w:val="lightGray"/>
        </w:rPr>
      </w:pPr>
      <w:r>
        <w:rPr>
          <w:rFonts w:ascii="Times New Roman" w:hAnsi="Times New Roman"/>
          <w:sz w:val="24"/>
          <w:szCs w:val="24"/>
          <w:highlight w:val="lightGray"/>
        </w:rPr>
        <w:t xml:space="preserve">- </w:t>
      </w:r>
      <w:r>
        <w:rPr>
          <w:rFonts w:ascii="Times New Roman" w:hAnsi="Times New Roman"/>
          <w:sz w:val="24"/>
          <w:szCs w:val="24"/>
          <w:highlight w:val="lightGray"/>
          <w:u w:val="single"/>
        </w:rPr>
        <w:t xml:space="preserve">при ресурсно-индексном методе </w:t>
      </w:r>
      <w:r>
        <w:rPr>
          <w:rFonts w:ascii="Times New Roman" w:hAnsi="Times New Roman"/>
          <w:sz w:val="24"/>
          <w:szCs w:val="24"/>
          <w:highlight w:val="lightGray"/>
        </w:rPr>
        <w:t xml:space="preserve"> - по данным ФГИС ЦС;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lightGray"/>
        </w:rPr>
        <w:t xml:space="preserve">- </w:t>
      </w:r>
      <w:r>
        <w:rPr>
          <w:rFonts w:ascii="Times New Roman" w:hAnsi="Times New Roman"/>
          <w:sz w:val="24"/>
          <w:szCs w:val="24"/>
          <w:highlight w:val="lightGray"/>
          <w:u w:val="single"/>
        </w:rPr>
        <w:t>при ресурсном методе</w:t>
      </w:r>
      <w:r>
        <w:rPr>
          <w:rFonts w:ascii="Times New Roman" w:hAnsi="Times New Roman"/>
          <w:sz w:val="24"/>
          <w:szCs w:val="24"/>
          <w:highlight w:val="lightGray"/>
        </w:rPr>
        <w:t xml:space="preserve"> - по данным ФГИС ЦС.</w:t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отсутствии данных по строительным машинам и механизмам во ФГИС ЦС сметная цена их эксплуатации в текущем уровне рассчитывается как произведение сметной цены таких машин и механизмов в базисном уровне</w:t>
      </w:r>
      <w:r>
        <w:rPr>
          <w:rFonts w:ascii="Times New Roman" w:hAnsi="Times New Roman"/>
          <w:sz w:val="24"/>
          <w:szCs w:val="24"/>
        </w:rPr>
        <w:t xml:space="preserve"> цен (по ФСЭМ) </w:t>
      </w:r>
      <w:r>
        <w:rPr>
          <w:rFonts w:cs="Times New Roman" w:ascii="Times New Roman" w:hAnsi="Times New Roman"/>
          <w:sz w:val="24"/>
          <w:szCs w:val="24"/>
        </w:rPr>
        <w:t>и индексов к группам аналогичных машин и механизмов.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отсутствии механизмов во ФСЭМ допускается стоимость эксплуатации определять Методами, предусмотренными Методикой ПЦ (методы без использования сметных нормативов)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</w:r>
    </w:p>
    <w:p>
      <w:pPr>
        <w:pStyle w:val="ListParagraph"/>
        <w:tabs>
          <w:tab w:val="clear" w:pos="709"/>
          <w:tab w:val="left" w:pos="993" w:leader="none"/>
        </w:tabs>
        <w:spacing w:lineRule="auto" w:line="240" w:before="0" w:after="0"/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Формирование сметных расчетов на клининг</w:t>
      </w:r>
      <w:r>
        <w:rPr>
          <w:rFonts w:ascii="Times New Roman" w:hAnsi="Times New Roman"/>
          <w:b/>
          <w:sz w:val="24"/>
          <w:szCs w:val="24"/>
        </w:rPr>
        <w:t>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для расчета стоимости работ по клинингу представлена в Приложении 3.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определения стоимости клининга необходимы следующие исходные данные: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993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 годовой площади производственных помещений с учетом периодичности выполнения технологических операций и коэффициента заставленности;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993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 годовой площади бытовых помещений с учетом периодичности выполнения технологических операций и коэффициента заставленности;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993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 годовой площади административных помещений с учетом периодичности выполнения технологических операций и коэффициента заставленности.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графе 3 формы расчета (приложение 3) заполняются исходные данные, далее в зависимости от годовой нормы обслуживания (графа 4) определяется нормативная численность работников (графа 5), необходимая для выполнения технологической операции.</w:t>
      </w:r>
    </w:p>
    <w:p>
      <w:pPr>
        <w:sectPr>
          <w:footerReference w:type="default" r:id="rId35"/>
          <w:footerReference w:type="first" r:id="rId36"/>
          <w:footnotePr>
            <w:numFmt w:val="decimal"/>
            <w:numRestart w:val="eachSect"/>
          </w:footnotePr>
          <w:type w:val="nextPage"/>
          <w:pgSz w:w="11906" w:h="16838"/>
          <w:pgMar w:left="1134" w:right="709" w:gutter="0" w:header="0" w:top="709" w:footer="709" w:bottom="766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567"/>
        <w:jc w:val="center"/>
        <w:rPr>
          <w:rFonts w:ascii="Times New Roman" w:hAnsi="Times New Roman"/>
          <w:b/>
          <w:i/>
          <w:i/>
        </w:rPr>
      </w:pPr>
      <w:r>
        <w:rPr>
          <w:rFonts w:ascii="Times New Roman" w:hAnsi="Times New Roman"/>
          <w:b/>
          <w:i/>
        </w:rPr>
      </w:r>
    </w:p>
    <w:p>
      <w:pPr>
        <w:pStyle w:val="Normal"/>
        <w:spacing w:lineRule="auto" w:line="240" w:before="0" w:after="0"/>
        <w:ind w:left="8646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 xml:space="preserve">Приложение №1 </w:t>
      </w:r>
    </w:p>
    <w:p>
      <w:pPr>
        <w:pStyle w:val="Normal"/>
        <w:spacing w:lineRule="auto" w:line="240" w:before="0" w:after="0"/>
        <w:ind w:left="8646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</w:t>
      </w:r>
    </w:p>
    <w:p>
      <w:pPr>
        <w:pStyle w:val="Normal"/>
        <w:spacing w:lineRule="auto" w:line="240" w:before="0" w:after="0"/>
        <w:ind w:left="8646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расчетов на выполнение работ/услуг по программе технического обслуживания</w:t>
      </w:r>
    </w:p>
    <w:p>
      <w:pPr>
        <w:pStyle w:val="Normal"/>
        <w:spacing w:lineRule="auto" w:line="240" w:before="0" w:after="0"/>
        <w:ind w:left="8646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энергооборудования, </w:t>
      </w:r>
      <w:r>
        <w:rPr>
          <w:rFonts w:ascii="Times New Roman" w:hAnsi="Times New Roman"/>
          <w:sz w:val="20"/>
          <w:szCs w:val="20"/>
        </w:rPr>
        <w:t xml:space="preserve">сетей, </w:t>
      </w:r>
      <w:r>
        <w:rPr>
          <w:rFonts w:ascii="Times New Roman" w:hAnsi="Times New Roman"/>
          <w:sz w:val="20"/>
        </w:rPr>
        <w:t>зданий и сооружений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pPr w:vertAnchor="page" w:horzAnchor="margin" w:leftFromText="180" w:rightFromText="180" w:tblpX="182" w:tblpY="3079"/>
        <w:tblW w:w="15390" w:type="dxa"/>
        <w:jc w:val="left"/>
        <w:tblInd w:w="-2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623"/>
        <w:gridCol w:w="625"/>
        <w:gridCol w:w="623"/>
        <w:gridCol w:w="625"/>
        <w:gridCol w:w="623"/>
        <w:gridCol w:w="625"/>
        <w:gridCol w:w="623"/>
        <w:gridCol w:w="625"/>
        <w:gridCol w:w="623"/>
        <w:gridCol w:w="625"/>
        <w:gridCol w:w="623"/>
        <w:gridCol w:w="624"/>
        <w:gridCol w:w="625"/>
        <w:gridCol w:w="623"/>
        <w:gridCol w:w="625"/>
        <w:gridCol w:w="623"/>
        <w:gridCol w:w="625"/>
        <w:gridCol w:w="623"/>
        <w:gridCol w:w="625"/>
        <w:gridCol w:w="623"/>
        <w:gridCol w:w="625"/>
        <w:gridCol w:w="1037"/>
        <w:gridCol w:w="625"/>
        <w:gridCol w:w="620"/>
      </w:tblGrid>
      <w:tr>
        <w:trPr>
          <w:trHeight w:val="6334" w:hRule="atLeast"/>
          <w:cantSplit w:val="true"/>
        </w:trPr>
        <w:tc>
          <w:tcPr>
            <w:tcW w:w="623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№ </w:t>
            </w:r>
            <w:r>
              <w:rPr>
                <w:rFonts w:ascii="Times New Roman" w:hAnsi="Times New Roman"/>
                <w:b/>
                <w:sz w:val="18"/>
              </w:rPr>
              <w:t>п/п</w:t>
            </w:r>
          </w:p>
        </w:tc>
        <w:tc>
          <w:tcPr>
            <w:tcW w:w="62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Объект</w:t>
            </w:r>
          </w:p>
        </w:tc>
        <w:tc>
          <w:tcPr>
            <w:tcW w:w="62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Оборудование</w:t>
            </w:r>
          </w:p>
        </w:tc>
        <w:tc>
          <w:tcPr>
            <w:tcW w:w="62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Единица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измерения</w:t>
            </w:r>
          </w:p>
        </w:tc>
        <w:tc>
          <w:tcPr>
            <w:tcW w:w="62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Количество единиц оборудования</w:t>
            </w:r>
          </w:p>
        </w:tc>
        <w:tc>
          <w:tcPr>
            <w:tcW w:w="62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BD4B4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Наименование типовой работы, состав работ</w:t>
            </w:r>
          </w:p>
        </w:tc>
        <w:tc>
          <w:tcPr>
            <w:tcW w:w="62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BD4B4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Периодичность выполнения работ (кол-во раз в год)</w:t>
            </w:r>
          </w:p>
        </w:tc>
        <w:tc>
          <w:tcPr>
            <w:tcW w:w="62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Длительность выполнения на год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 (Час)</w:t>
            </w:r>
          </w:p>
        </w:tc>
        <w:tc>
          <w:tcPr>
            <w:tcW w:w="62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Требуемая квалификация производственного персонала</w:t>
            </w:r>
          </w:p>
        </w:tc>
        <w:tc>
          <w:tcPr>
            <w:tcW w:w="62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Кол-во производственного  персонала</w:t>
            </w:r>
          </w:p>
        </w:tc>
        <w:tc>
          <w:tcPr>
            <w:tcW w:w="62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Кол-во производственного персонала для выполнения работы по расчету</w:t>
            </w:r>
          </w:p>
        </w:tc>
        <w:tc>
          <w:tcPr>
            <w:tcW w:w="624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Требуемая группа допуска</w:t>
            </w:r>
          </w:p>
        </w:tc>
        <w:tc>
          <w:tcPr>
            <w:tcW w:w="62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BD4B4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Перечень </w:t>
            </w:r>
            <w:r>
              <w:rPr>
                <w:rFonts w:ascii="Times New Roman" w:hAnsi="Times New Roman"/>
                <w:b/>
                <w:sz w:val="18"/>
              </w:rPr>
              <w:t>МТР</w:t>
            </w:r>
          </w:p>
        </w:tc>
        <w:tc>
          <w:tcPr>
            <w:tcW w:w="62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Количество МТР</w:t>
            </w:r>
          </w:p>
        </w:tc>
        <w:tc>
          <w:tcPr>
            <w:tcW w:w="62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BD4B4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Средства механизации, автотранспорт</w:t>
            </w:r>
          </w:p>
        </w:tc>
        <w:tc>
          <w:tcPr>
            <w:tcW w:w="62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Время использования механизмов</w:t>
            </w:r>
          </w:p>
        </w:tc>
        <w:tc>
          <w:tcPr>
            <w:tcW w:w="62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Инструменты</w:t>
            </w:r>
          </w:p>
        </w:tc>
        <w:tc>
          <w:tcPr>
            <w:tcW w:w="62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Количество инструментов</w:t>
            </w:r>
          </w:p>
        </w:tc>
        <w:tc>
          <w:tcPr>
            <w:tcW w:w="62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Инвентарь</w:t>
            </w:r>
          </w:p>
        </w:tc>
        <w:tc>
          <w:tcPr>
            <w:tcW w:w="62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Количество инвентаря</w:t>
            </w:r>
          </w:p>
        </w:tc>
        <w:tc>
          <w:tcPr>
            <w:tcW w:w="62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Услуги лаборатории</w:t>
            </w:r>
          </w:p>
        </w:tc>
        <w:tc>
          <w:tcPr>
            <w:tcW w:w="1037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Средства метрологического контроля. Контрольно-измерительные инструменты и приборы для выполнения работы</w:t>
            </w:r>
          </w:p>
        </w:tc>
        <w:tc>
          <w:tcPr>
            <w:tcW w:w="62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Нормативные документы на выполнение работы</w:t>
            </w:r>
          </w:p>
        </w:tc>
        <w:tc>
          <w:tcPr>
            <w:tcW w:w="62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Особые условия по безопасности выполнения работ</w:t>
            </w:r>
          </w:p>
        </w:tc>
      </w:tr>
      <w:tr>
        <w:trPr>
          <w:trHeight w:val="268" w:hRule="atLeast"/>
          <w:cantSplit w:val="true"/>
        </w:trPr>
        <w:tc>
          <w:tcPr>
            <w:tcW w:w="623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1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3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4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5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FBD4B4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6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FBD4B4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7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8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9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10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11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12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FBD4B4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13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14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FBD4B4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15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16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17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18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19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21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22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23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24</w:t>
            </w:r>
          </w:p>
        </w:tc>
      </w:tr>
    </w:tbl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/>
          <w:b/>
          <w:sz w:val="20"/>
        </w:rPr>
      </w:pPr>
      <w:r/>
      <w:r>
        <w:rPr>
          <w:rFonts w:ascii="Times New Roman" w:hAnsi="Times New Roman"/>
          <w:b/>
          <w:sz w:val="20"/>
        </w:rPr>
        <w:t>Перечень типовых работ по техническому обслуживанию на период_________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sectPr>
          <w:footerReference w:type="default" r:id="rId37"/>
          <w:footerReference w:type="first" r:id="rId38"/>
          <w:footnotePr>
            <w:numFmt w:val="decimal"/>
            <w:numRestart w:val="eachSect"/>
          </w:footnotePr>
          <w:type w:val="nextPage"/>
          <w:pgSz w:orient="landscape" w:w="16838" w:h="11906"/>
          <w:pgMar w:left="426" w:right="284" w:gutter="0" w:header="0" w:top="709" w:footer="709" w:bottom="766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* ячейки, выделенные цветом, являются исходными данными для определения стоимости работ/услуг по ТО</w:t>
      </w:r>
    </w:p>
    <w:p>
      <w:pPr>
        <w:pStyle w:val="Normal"/>
        <w:spacing w:lineRule="auto" w:line="240" w:before="0" w:after="0"/>
        <w:ind w:left="8646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2 </w:t>
      </w:r>
    </w:p>
    <w:p>
      <w:pPr>
        <w:pStyle w:val="Normal"/>
        <w:spacing w:lineRule="auto" w:line="240" w:before="0" w:after="0"/>
        <w:ind w:left="8646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Требованиям к оформлению и составлению</w:t>
      </w:r>
    </w:p>
    <w:p>
      <w:pPr>
        <w:pStyle w:val="Normal"/>
        <w:spacing w:lineRule="auto" w:line="240" w:before="0" w:after="0"/>
        <w:ind w:left="8646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расчетов на выполнение работ/услуг</w:t>
      </w:r>
    </w:p>
    <w:p>
      <w:pPr>
        <w:pStyle w:val="Normal"/>
        <w:spacing w:lineRule="auto" w:line="240" w:before="0" w:after="0"/>
        <w:ind w:left="8646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по программе технического обслуживания</w:t>
      </w:r>
    </w:p>
    <w:p>
      <w:pPr>
        <w:pStyle w:val="Normal"/>
        <w:spacing w:lineRule="auto" w:line="240" w:before="0" w:after="0"/>
        <w:ind w:left="8646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энергооборудования, сетей, зданий и сооружений.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/>
          <w:b/>
          <w:sz w:val="18"/>
        </w:rPr>
      </w:pPr>
      <w:r>
        <w:rPr>
          <w:rFonts w:ascii="Times New Roman" w:hAnsi="Times New Roman"/>
          <w:b/>
          <w:sz w:val="20"/>
        </w:rPr>
        <w:t>Справочник стоимости типовых работ по техническому обслуживанию на период</w:t>
      </w:r>
      <w:r>
        <w:rPr>
          <w:rFonts w:ascii="Times New Roman" w:hAnsi="Times New Roman"/>
          <w:b/>
          <w:sz w:val="18"/>
        </w:rPr>
        <w:t>_________</w:t>
      </w:r>
    </w:p>
    <w:p>
      <w:pPr>
        <w:pStyle w:val="Normal"/>
        <w:spacing w:lineRule="auto" w:line="240" w:before="0" w:after="0"/>
        <w:ind w:firstLine="709"/>
        <w:jc w:val="righ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</w:r>
    </w:p>
    <w:tbl>
      <w:tblPr>
        <w:tblW w:w="15559" w:type="dxa"/>
        <w:jc w:val="left"/>
        <w:tblInd w:w="-2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510"/>
        <w:gridCol w:w="510"/>
        <w:gridCol w:w="509"/>
        <w:gridCol w:w="510"/>
        <w:gridCol w:w="511"/>
        <w:gridCol w:w="510"/>
        <w:gridCol w:w="509"/>
        <w:gridCol w:w="510"/>
        <w:gridCol w:w="510"/>
        <w:gridCol w:w="511"/>
        <w:gridCol w:w="510"/>
        <w:gridCol w:w="509"/>
        <w:gridCol w:w="510"/>
        <w:gridCol w:w="511"/>
        <w:gridCol w:w="510"/>
        <w:gridCol w:w="510"/>
        <w:gridCol w:w="509"/>
        <w:gridCol w:w="510"/>
        <w:gridCol w:w="511"/>
        <w:gridCol w:w="510"/>
        <w:gridCol w:w="509"/>
        <w:gridCol w:w="510"/>
        <w:gridCol w:w="510"/>
        <w:gridCol w:w="511"/>
        <w:gridCol w:w="510"/>
        <w:gridCol w:w="509"/>
        <w:gridCol w:w="510"/>
        <w:gridCol w:w="655"/>
        <w:gridCol w:w="568"/>
        <w:gridCol w:w="563"/>
      </w:tblGrid>
      <w:tr>
        <w:trPr>
          <w:trHeight w:val="5803" w:hRule="atLeast"/>
          <w:cantSplit w:val="true"/>
        </w:trPr>
        <w:tc>
          <w:tcPr>
            <w:tcW w:w="510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textDirection w:val="btL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№ </w:t>
            </w:r>
            <w:r>
              <w:rPr>
                <w:rFonts w:ascii="Times New Roman" w:hAnsi="Times New Roman"/>
                <w:b/>
                <w:sz w:val="18"/>
              </w:rPr>
              <w:t>п/п</w:t>
            </w:r>
          </w:p>
        </w:tc>
        <w:tc>
          <w:tcPr>
            <w:tcW w:w="510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Объект</w:t>
            </w:r>
          </w:p>
        </w:tc>
        <w:tc>
          <w:tcPr>
            <w:tcW w:w="509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Оборудование</w:t>
            </w:r>
          </w:p>
        </w:tc>
        <w:tc>
          <w:tcPr>
            <w:tcW w:w="510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textDirection w:val="btL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Единица измерения</w:t>
            </w:r>
          </w:p>
        </w:tc>
        <w:tc>
          <w:tcPr>
            <w:tcW w:w="511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Количество единиц оборудования</w:t>
            </w:r>
          </w:p>
        </w:tc>
        <w:tc>
          <w:tcPr>
            <w:tcW w:w="510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FFFFFF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Наименование типовой работы, состав работ</w:t>
            </w:r>
          </w:p>
        </w:tc>
        <w:tc>
          <w:tcPr>
            <w:tcW w:w="509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D6E3BC" w:val="clear"/>
            <w:textDirection w:val="btL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Шифр расценки</w:t>
            </w:r>
          </w:p>
        </w:tc>
        <w:tc>
          <w:tcPr>
            <w:tcW w:w="510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D6E3BC" w:val="clear"/>
            <w:textDirection w:val="btL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Единица измерения</w:t>
            </w:r>
          </w:p>
        </w:tc>
        <w:tc>
          <w:tcPr>
            <w:tcW w:w="510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D6E3BC" w:val="clear"/>
            <w:textDirection w:val="btL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Норма трудозатрат на ед. изм.</w:t>
            </w:r>
          </w:p>
        </w:tc>
        <w:tc>
          <w:tcPr>
            <w:tcW w:w="511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D6E3BC" w:val="clear"/>
            <w:textDirection w:val="btL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Состав работ</w:t>
            </w:r>
          </w:p>
        </w:tc>
        <w:tc>
          <w:tcPr>
            <w:tcW w:w="510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D6E3BC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Средний разряд работ</w:t>
            </w:r>
          </w:p>
        </w:tc>
        <w:tc>
          <w:tcPr>
            <w:tcW w:w="509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FFFFFF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Периодичность выполнения работ (кол-во раз в год)</w:t>
            </w:r>
          </w:p>
        </w:tc>
        <w:tc>
          <w:tcPr>
            <w:tcW w:w="510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D6E3BC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Длительность выполнения на год</w:t>
            </w:r>
          </w:p>
        </w:tc>
        <w:tc>
          <w:tcPr>
            <w:tcW w:w="511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D6E3BC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Стоимость ч/час, руб.</w:t>
            </w:r>
          </w:p>
        </w:tc>
        <w:tc>
          <w:tcPr>
            <w:tcW w:w="510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D6E3BC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Общая стоимость услуг,  руб.</w:t>
            </w:r>
          </w:p>
        </w:tc>
        <w:tc>
          <w:tcPr>
            <w:tcW w:w="510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МТР</w:t>
            </w:r>
          </w:p>
        </w:tc>
        <w:tc>
          <w:tcPr>
            <w:tcW w:w="509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Единица измерения</w:t>
            </w:r>
          </w:p>
        </w:tc>
        <w:tc>
          <w:tcPr>
            <w:tcW w:w="510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D6E3BC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Норма расхода МТР на единицу работ</w:t>
            </w:r>
          </w:p>
        </w:tc>
        <w:tc>
          <w:tcPr>
            <w:tcW w:w="511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FFFFFF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Количество МТР</w:t>
            </w:r>
          </w:p>
        </w:tc>
        <w:tc>
          <w:tcPr>
            <w:tcW w:w="510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D6E3BC" w:val="clear"/>
            <w:textDirection w:val="btL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Обоснование стоимости МТР</w:t>
            </w:r>
          </w:p>
        </w:tc>
        <w:tc>
          <w:tcPr>
            <w:tcW w:w="509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D6E3BC" w:val="clear"/>
            <w:textDirection w:val="btL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Цена за единицу, руб. без НДС</w:t>
            </w:r>
          </w:p>
        </w:tc>
        <w:tc>
          <w:tcPr>
            <w:tcW w:w="510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D6E3BC" w:val="clear"/>
            <w:textDirection w:val="btL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Стоимость материалов, руб. без НДС</w:t>
            </w:r>
          </w:p>
        </w:tc>
        <w:tc>
          <w:tcPr>
            <w:tcW w:w="510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FFFFFF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Средства механизации, автотранспорт</w:t>
            </w:r>
          </w:p>
        </w:tc>
        <w:tc>
          <w:tcPr>
            <w:tcW w:w="511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D6E3BC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Норма эксплуатации механизмов, маш/час.</w:t>
            </w:r>
          </w:p>
        </w:tc>
        <w:tc>
          <w:tcPr>
            <w:tcW w:w="510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D6E3BC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Обоснование стоимости механизмов </w:t>
            </w:r>
          </w:p>
        </w:tc>
        <w:tc>
          <w:tcPr>
            <w:tcW w:w="509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D6E3BC" w:val="clear"/>
            <w:textDirection w:val="btL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Время использования механизма, маш/час</w:t>
            </w:r>
          </w:p>
        </w:tc>
        <w:tc>
          <w:tcPr>
            <w:tcW w:w="510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D6E3BC" w:val="clear"/>
            <w:textDirection w:val="btL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Стоимость маш/час, руб.</w:t>
            </w:r>
          </w:p>
        </w:tc>
        <w:tc>
          <w:tcPr>
            <w:tcW w:w="655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D6E3BC" w:val="clear"/>
            <w:textDirection w:val="btL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Стоимость эксплуатации механизмов и автотранспорта, руб.</w:t>
            </w:r>
          </w:p>
        </w:tc>
        <w:tc>
          <w:tcPr>
            <w:tcW w:w="568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Особые условия по безопасности выполнения работ </w:t>
            </w:r>
          </w:p>
        </w:tc>
        <w:tc>
          <w:tcPr>
            <w:tcW w:w="563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Примечание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**ячейки, выделенные цветом, добавляются для определения стоимости работ/услуг по ТО</w:t>
      </w:r>
    </w:p>
    <w:p>
      <w:pPr>
        <w:pStyle w:val="Normal"/>
        <w:spacing w:lineRule="auto" w:line="240" w:before="0" w:after="0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sectPr>
          <w:footerReference w:type="default" r:id="rId39"/>
          <w:footerReference w:type="first" r:id="rId40"/>
          <w:footnotePr>
            <w:numFmt w:val="decimal"/>
            <w:numRestart w:val="eachSect"/>
          </w:footnotePr>
          <w:type w:val="nextPage"/>
          <w:pgSz w:orient="landscape" w:w="16838" w:h="11906"/>
          <w:pgMar w:left="454" w:right="454" w:gutter="0" w:header="0" w:top="1304" w:footer="709" w:bottom="924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8646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Приложение 3 </w:t>
      </w:r>
    </w:p>
    <w:p>
      <w:pPr>
        <w:pStyle w:val="Normal"/>
        <w:spacing w:lineRule="auto" w:line="240" w:before="0" w:after="0"/>
        <w:ind w:left="8646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</w:t>
      </w:r>
    </w:p>
    <w:p>
      <w:pPr>
        <w:pStyle w:val="Normal"/>
        <w:spacing w:lineRule="auto" w:line="240" w:before="0" w:after="0"/>
        <w:ind w:left="8646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  <w:t xml:space="preserve">расчетов на выполнение работ/услуг </w:t>
      </w:r>
    </w:p>
    <w:p>
      <w:pPr>
        <w:pStyle w:val="Normal"/>
        <w:spacing w:lineRule="auto" w:line="240" w:before="0" w:after="0"/>
        <w:ind w:left="8646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по программе технического обслуживания</w:t>
      </w:r>
    </w:p>
    <w:p>
      <w:pPr>
        <w:pStyle w:val="Normal"/>
        <w:spacing w:lineRule="auto" w:line="240" w:before="0" w:after="0"/>
        <w:ind w:left="8646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0"/>
        </w:rPr>
        <w:t xml:space="preserve">энергооборудования, </w:t>
      </w:r>
      <w:r>
        <w:rPr>
          <w:rFonts w:ascii="Times New Roman" w:hAnsi="Times New Roman"/>
          <w:sz w:val="20"/>
          <w:szCs w:val="20"/>
        </w:rPr>
        <w:t xml:space="preserve">сетей, </w:t>
      </w:r>
      <w:r>
        <w:rPr>
          <w:rFonts w:ascii="Times New Roman" w:hAnsi="Times New Roman"/>
          <w:sz w:val="20"/>
        </w:rPr>
        <w:t>зданий и сооружений</w:t>
      </w:r>
      <w:r>
        <w:rPr>
          <w:rFonts w:ascii="Times New Roman" w:hAnsi="Times New Roman"/>
        </w:rPr>
        <w:t>.</w:t>
      </w:r>
    </w:p>
    <w:p>
      <w:pPr>
        <w:pStyle w:val="Normal"/>
        <w:spacing w:lineRule="auto" w:line="240" w:before="0" w:after="0"/>
        <w:ind w:left="8646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Расчет стоимости услуг по уборке помещений (образец)</w:t>
      </w:r>
    </w:p>
    <w:tbl>
      <w:tblPr>
        <w:tblW w:w="15499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67"/>
        <w:gridCol w:w="1587"/>
        <w:gridCol w:w="1021"/>
        <w:gridCol w:w="8"/>
        <w:gridCol w:w="1268"/>
        <w:gridCol w:w="9"/>
        <w:gridCol w:w="1238"/>
        <w:gridCol w:w="8"/>
        <w:gridCol w:w="10"/>
        <w:gridCol w:w="974"/>
        <w:gridCol w:w="8"/>
        <w:gridCol w:w="9"/>
        <w:gridCol w:w="693"/>
        <w:gridCol w:w="8"/>
        <w:gridCol w:w="8"/>
        <w:gridCol w:w="1258"/>
        <w:gridCol w:w="8"/>
        <w:gridCol w:w="9"/>
        <w:gridCol w:w="1118"/>
        <w:gridCol w:w="992"/>
        <w:gridCol w:w="20"/>
        <w:gridCol w:w="831"/>
        <w:gridCol w:w="20"/>
        <w:gridCol w:w="829"/>
        <w:gridCol w:w="20"/>
        <w:gridCol w:w="690"/>
        <w:gridCol w:w="20"/>
        <w:gridCol w:w="1255"/>
        <w:gridCol w:w="21"/>
        <w:gridCol w:w="971"/>
        <w:gridCol w:w="17"/>
      </w:tblGrid>
      <w:tr>
        <w:trPr>
          <w:trHeight w:val="2116" w:hRule="atLeast"/>
          <w:cantSplit w:val="true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000000" w:fill="FFFFFF" w:val="clear"/>
            <w:textDirection w:val="btLr"/>
          </w:tcPr>
          <w:p>
            <w:pPr>
              <w:pStyle w:val="Normal"/>
              <w:spacing w:lineRule="auto" w:line="240" w:before="0" w:after="0"/>
              <w:ind w:firstLine="39" w:right="113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№ </w:t>
            </w:r>
            <w:r>
              <w:rPr>
                <w:rFonts w:ascii="Times New Roman" w:hAnsi="Times New Roman"/>
                <w:b/>
                <w:sz w:val="18"/>
              </w:rPr>
              <w:t>п/п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000000" w:fill="FFFFFF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firstLine="39" w:right="113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Наименование</w:t>
            </w:r>
          </w:p>
          <w:p>
            <w:pPr>
              <w:pStyle w:val="Normal"/>
              <w:spacing w:lineRule="auto" w:line="240" w:before="0" w:after="0"/>
              <w:ind w:left="113" w:right="113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работы</w:t>
            </w:r>
          </w:p>
        </w:tc>
        <w:tc>
          <w:tcPr>
            <w:tcW w:w="1021" w:type="dxa"/>
            <w:tcBorders>
              <w:top w:val="single" w:sz="4" w:space="0" w:color="000000"/>
              <w:right w:val="single" w:sz="4" w:space="0" w:color="000000"/>
            </w:tcBorders>
            <w:shd w:color="000000" w:fill="FFFFFF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Обоснование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color="000000" w:fill="FFFFFF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Общая годовая площадь (с учетом периодичности уборки и коэффициента заставленности), м2</w:t>
            </w:r>
          </w:p>
        </w:tc>
        <w:tc>
          <w:tcPr>
            <w:tcW w:w="1247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color="000000" w:fill="FFFFFF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Норма обслуживания, м2/год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right w:val="single" w:sz="4" w:space="0" w:color="000000"/>
            </w:tcBorders>
            <w:shd w:color="000000" w:fill="FFFFFF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Нормативная численность, чел/год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right w:val="single" w:sz="4" w:space="0" w:color="000000"/>
            </w:tcBorders>
            <w:shd w:color="000000" w:fill="FFFFFF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Средний разряд</w:t>
            </w:r>
          </w:p>
        </w:tc>
        <w:tc>
          <w:tcPr>
            <w:tcW w:w="1274" w:type="dxa"/>
            <w:gridSpan w:val="3"/>
            <w:tcBorders>
              <w:top w:val="single" w:sz="4" w:space="0" w:color="000000"/>
              <w:right w:val="single" w:sz="4" w:space="0" w:color="000000"/>
            </w:tcBorders>
            <w:shd w:color="000000" w:fill="FFFFFF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Стоимость тарифной ставки чел.-час., руб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right w:val="single" w:sz="4" w:space="0" w:color="000000"/>
            </w:tcBorders>
            <w:shd w:color="000000" w:fill="FFFFFF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Стоимость чел.-час. в ценах ___ квартала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/>
                <w:sz w:val="18"/>
              </w:rPr>
              <w:t>___ года, руб.</w:t>
            </w:r>
          </w:p>
        </w:tc>
        <w:tc>
          <w:tcPr>
            <w:tcW w:w="992" w:type="dxa"/>
            <w:tcBorders>
              <w:top w:val="single" w:sz="4" w:space="0" w:color="000000"/>
              <w:right w:val="single" w:sz="4" w:space="0" w:color="000000"/>
            </w:tcBorders>
            <w:shd w:color="000000" w:fill="FFFFFF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Стоимость работ в ценах ___ квартала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/>
                <w:sz w:val="18"/>
              </w:rPr>
              <w:t>___ года, руб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color="000000" w:fill="FFFFFF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МТР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color="000000" w:fill="FFFFFF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Единица измерения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color="000000" w:fill="FFFFFF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Норма расхода МТР на единицу работ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829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Количество МТР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color="000000" w:fill="FFFFFF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829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Средства механизации, автотранспорт</w:t>
            </w:r>
          </w:p>
        </w:tc>
        <w:tc>
          <w:tcPr>
            <w:tcW w:w="1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15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</w:t>
            </w:r>
          </w:p>
        </w:tc>
        <w:tc>
          <w:tcPr>
            <w:tcW w:w="124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6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7</w:t>
            </w:r>
          </w:p>
        </w:tc>
        <w:tc>
          <w:tcPr>
            <w:tcW w:w="12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8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12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</w:t>
            </w:r>
          </w:p>
        </w:tc>
        <w:tc>
          <w:tcPr>
            <w:tcW w:w="1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79" w:hRule="atLeast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sz w:val="18"/>
                <w:u w:val="single"/>
              </w:rPr>
            </w:pPr>
            <w:r>
              <w:rPr>
                <w:rFonts w:ascii="Times New Roman" w:hAnsi="Times New Roman"/>
                <w:b/>
                <w:sz w:val="18"/>
                <w:u w:val="single"/>
              </w:rPr>
            </w:r>
          </w:p>
        </w:tc>
        <w:tc>
          <w:tcPr>
            <w:tcW w:w="10254" w:type="dxa"/>
            <w:gridSpan w:val="2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sz w:val="18"/>
                <w:u w:val="single"/>
              </w:rPr>
            </w:pPr>
            <w:r>
              <w:rPr>
                <w:rFonts w:ascii="Times New Roman" w:hAnsi="Times New Roman"/>
                <w:b/>
                <w:sz w:val="18"/>
                <w:u w:val="single"/>
              </w:rPr>
              <w:t>Расчет стоимости клининга производственных помещений</w:t>
            </w:r>
          </w:p>
        </w:tc>
        <w:tc>
          <w:tcPr>
            <w:tcW w:w="851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sz w:val="18"/>
                <w:u w:val="single"/>
              </w:rPr>
            </w:pPr>
            <w:r>
              <w:rPr>
                <w:rFonts w:ascii="Times New Roman" w:hAnsi="Times New Roman"/>
                <w:b/>
                <w:sz w:val="18"/>
                <w:u w:val="single"/>
              </w:rPr>
            </w:r>
          </w:p>
        </w:tc>
        <w:tc>
          <w:tcPr>
            <w:tcW w:w="849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sz w:val="18"/>
                <w:u w:val="single"/>
              </w:rPr>
            </w:pPr>
            <w:r>
              <w:rPr>
                <w:rFonts w:ascii="Times New Roman" w:hAnsi="Times New Roman"/>
                <w:b/>
                <w:sz w:val="18"/>
                <w:u w:val="single"/>
              </w:rPr>
            </w:r>
          </w:p>
        </w:tc>
        <w:tc>
          <w:tcPr>
            <w:tcW w:w="71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sz w:val="18"/>
                <w:u w:val="single"/>
              </w:rPr>
            </w:pPr>
            <w:r>
              <w:rPr>
                <w:rFonts w:ascii="Times New Roman" w:hAnsi="Times New Roman"/>
                <w:b/>
                <w:sz w:val="18"/>
                <w:u w:val="single"/>
              </w:rPr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sz w:val="18"/>
                <w:u w:val="single"/>
              </w:rPr>
            </w:pPr>
            <w:r>
              <w:rPr>
                <w:rFonts w:ascii="Times New Roman" w:hAnsi="Times New Roman"/>
                <w:b/>
                <w:sz w:val="18"/>
                <w:u w:val="single"/>
              </w:rPr>
            </w:r>
          </w:p>
        </w:tc>
        <w:tc>
          <w:tcPr>
            <w:tcW w:w="988" w:type="dxa"/>
            <w:gridSpan w:val="2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sz w:val="18"/>
                <w:u w:val="single"/>
              </w:rPr>
            </w:pPr>
            <w:r>
              <w:rPr>
                <w:rFonts w:ascii="Times New Roman" w:hAnsi="Times New Roman"/>
                <w:b/>
                <w:sz w:val="18"/>
                <w:u w:val="single"/>
              </w:rPr>
            </w:r>
          </w:p>
        </w:tc>
      </w:tr>
      <w:tr>
        <w:trPr>
          <w:trHeight w:val="1097" w:hRule="atLeast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Подмет-ие пола с предварительным увлажнением, помещения с мусором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НТ ВР ЖКХ 2.1.3-68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47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279 110,00</w:t>
            </w:r>
          </w:p>
        </w:tc>
        <w:tc>
          <w:tcPr>
            <w:tcW w:w="992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71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1,5</w:t>
            </w:r>
          </w:p>
        </w:tc>
        <w:tc>
          <w:tcPr>
            <w:tcW w:w="12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49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10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842" w:hRule="atLeast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Мытье со сбором отходов, помещения с мусором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НТ ВР ЖКХ 2.1.3-91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47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146 965,00</w:t>
            </w:r>
          </w:p>
        </w:tc>
        <w:tc>
          <w:tcPr>
            <w:tcW w:w="992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71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1,8</w:t>
            </w:r>
          </w:p>
        </w:tc>
        <w:tc>
          <w:tcPr>
            <w:tcW w:w="12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49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10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495" w:hRule="atLeast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…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47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92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1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49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10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6" w:hRule="atLeast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i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</w:r>
          </w:p>
        </w:tc>
        <w:tc>
          <w:tcPr>
            <w:tcW w:w="5149" w:type="dxa"/>
            <w:gridSpan w:val="8"/>
            <w:tcBorders>
              <w:left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i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>Итого по производственным помещениям</w:t>
            </w:r>
          </w:p>
        </w:tc>
        <w:tc>
          <w:tcPr>
            <w:tcW w:w="991" w:type="dxa"/>
            <w:gridSpan w:val="3"/>
            <w:tcBorders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i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>0,000</w:t>
            </w:r>
          </w:p>
        </w:tc>
        <w:tc>
          <w:tcPr>
            <w:tcW w:w="709" w:type="dxa"/>
            <w:gridSpan w:val="3"/>
            <w:tcBorders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i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</w:r>
          </w:p>
        </w:tc>
        <w:tc>
          <w:tcPr>
            <w:tcW w:w="1275" w:type="dxa"/>
            <w:gridSpan w:val="3"/>
            <w:tcBorders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i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</w:r>
          </w:p>
        </w:tc>
        <w:tc>
          <w:tcPr>
            <w:tcW w:w="1118" w:type="dxa"/>
            <w:tcBorders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i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i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>0,00</w:t>
            </w:r>
          </w:p>
        </w:tc>
        <w:tc>
          <w:tcPr>
            <w:tcW w:w="851" w:type="dxa"/>
            <w:gridSpan w:val="2"/>
            <w:tcBorders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i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</w:r>
          </w:p>
        </w:tc>
        <w:tc>
          <w:tcPr>
            <w:tcW w:w="849" w:type="dxa"/>
            <w:gridSpan w:val="2"/>
            <w:tcBorders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i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</w:r>
          </w:p>
        </w:tc>
        <w:tc>
          <w:tcPr>
            <w:tcW w:w="710" w:type="dxa"/>
            <w:gridSpan w:val="2"/>
            <w:tcBorders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i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</w:r>
          </w:p>
        </w:tc>
        <w:tc>
          <w:tcPr>
            <w:tcW w:w="1275" w:type="dxa"/>
            <w:gridSpan w:val="2"/>
            <w:tcBorders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i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</w:r>
          </w:p>
        </w:tc>
        <w:tc>
          <w:tcPr>
            <w:tcW w:w="992" w:type="dxa"/>
            <w:gridSpan w:val="2"/>
            <w:tcBorders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i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</w:r>
          </w:p>
        </w:tc>
        <w:tc>
          <w:tcPr>
            <w:tcW w:w="1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563" w:hRule="atLeast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u w:val="single"/>
              </w:rPr>
            </w:r>
          </w:p>
        </w:tc>
        <w:tc>
          <w:tcPr>
            <w:tcW w:w="812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u w:val="single"/>
              </w:rPr>
              <w:t>Расчет стоимости клининга бытовых помещений</w:t>
            </w:r>
          </w:p>
        </w:tc>
        <w:tc>
          <w:tcPr>
            <w:tcW w:w="1118" w:type="dxa"/>
            <w:tcBorders>
              <w:top w:val="single" w:sz="8" w:space="0" w:color="000000"/>
              <w:bottom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</w:tc>
        <w:tc>
          <w:tcPr>
            <w:tcW w:w="849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</w:tc>
        <w:tc>
          <w:tcPr>
            <w:tcW w:w="710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</w:tc>
        <w:tc>
          <w:tcPr>
            <w:tcW w:w="1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Подмет-ие пола с предварительным увлажнением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НТ ВР ЖКХ 2.1.1-3 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47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469 300,00</w:t>
            </w:r>
          </w:p>
        </w:tc>
        <w:tc>
          <w:tcPr>
            <w:tcW w:w="992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71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1,5</w:t>
            </w:r>
          </w:p>
        </w:tc>
        <w:tc>
          <w:tcPr>
            <w:tcW w:w="12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49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10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5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30" w:hRule="atLeast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i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</w:r>
          </w:p>
        </w:tc>
        <w:tc>
          <w:tcPr>
            <w:tcW w:w="2616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i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>Итого по бытовым помещениям: </w:t>
            </w:r>
          </w:p>
        </w:tc>
        <w:tc>
          <w:tcPr>
            <w:tcW w:w="1277" w:type="dxa"/>
            <w:gridSpan w:val="2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i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>0,00</w:t>
            </w:r>
          </w:p>
        </w:tc>
        <w:tc>
          <w:tcPr>
            <w:tcW w:w="1246" w:type="dxa"/>
            <w:gridSpan w:val="2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i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i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>0,000</w:t>
            </w:r>
          </w:p>
        </w:tc>
        <w:tc>
          <w:tcPr>
            <w:tcW w:w="710" w:type="dxa"/>
            <w:gridSpan w:val="3"/>
            <w:tcBorders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i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> </w:t>
            </w:r>
          </w:p>
        </w:tc>
        <w:tc>
          <w:tcPr>
            <w:tcW w:w="1274" w:type="dxa"/>
            <w:gridSpan w:val="3"/>
            <w:tcBorders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i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> </w:t>
            </w:r>
          </w:p>
        </w:tc>
        <w:tc>
          <w:tcPr>
            <w:tcW w:w="1127" w:type="dxa"/>
            <w:gridSpan w:val="2"/>
            <w:tcBorders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i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i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>0,00</w:t>
            </w:r>
          </w:p>
        </w:tc>
        <w:tc>
          <w:tcPr>
            <w:tcW w:w="851" w:type="dxa"/>
            <w:gridSpan w:val="2"/>
            <w:tcBorders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i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</w:r>
          </w:p>
        </w:tc>
        <w:tc>
          <w:tcPr>
            <w:tcW w:w="849" w:type="dxa"/>
            <w:gridSpan w:val="2"/>
            <w:tcBorders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i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</w:r>
          </w:p>
        </w:tc>
        <w:tc>
          <w:tcPr>
            <w:tcW w:w="710" w:type="dxa"/>
            <w:gridSpan w:val="2"/>
            <w:tcBorders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i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</w:r>
          </w:p>
        </w:tc>
        <w:tc>
          <w:tcPr>
            <w:tcW w:w="1275" w:type="dxa"/>
            <w:gridSpan w:val="2"/>
            <w:tcBorders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i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</w:r>
          </w:p>
        </w:tc>
        <w:tc>
          <w:tcPr>
            <w:tcW w:w="992" w:type="dxa"/>
            <w:gridSpan w:val="2"/>
            <w:tcBorders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i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</w:r>
          </w:p>
        </w:tc>
        <w:tc>
          <w:tcPr>
            <w:tcW w:w="1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30" w:hRule="atLeast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u w:val="single"/>
              </w:rPr>
            </w:r>
          </w:p>
        </w:tc>
        <w:tc>
          <w:tcPr>
            <w:tcW w:w="684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u w:val="single"/>
              </w:rPr>
              <w:t>Расчет стоимости клининга административных помещений </w:t>
            </w:r>
          </w:p>
        </w:tc>
        <w:tc>
          <w:tcPr>
            <w:tcW w:w="1275" w:type="dxa"/>
            <w:gridSpan w:val="3"/>
            <w:tcBorders>
              <w:top w:val="single" w:sz="8" w:space="0" w:color="000000"/>
              <w:bottom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118" w:type="dxa"/>
            <w:tcBorders>
              <w:top w:val="single" w:sz="8" w:space="0" w:color="000000"/>
              <w:bottom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</w:tc>
        <w:tc>
          <w:tcPr>
            <w:tcW w:w="849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</w:tc>
        <w:tc>
          <w:tcPr>
            <w:tcW w:w="710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</w:tc>
        <w:tc>
          <w:tcPr>
            <w:tcW w:w="1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510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Стеклопротирочные работы</w:t>
            </w:r>
          </w:p>
        </w:tc>
        <w:tc>
          <w:tcPr>
            <w:tcW w:w="10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НТ ВР ЖКХ 2.4.2.1-1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320 112,00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71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1,5</w:t>
            </w:r>
          </w:p>
        </w:tc>
        <w:tc>
          <w:tcPr>
            <w:tcW w:w="12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49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10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5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Обметание стен, в/э краска и обои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НТ ВР ЖКХ 2.1.6-2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47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395 200,00</w:t>
            </w:r>
          </w:p>
        </w:tc>
        <w:tc>
          <w:tcPr>
            <w:tcW w:w="992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71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1,5</w:t>
            </w:r>
          </w:p>
        </w:tc>
        <w:tc>
          <w:tcPr>
            <w:tcW w:w="12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49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10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5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487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i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</w:r>
          </w:p>
        </w:tc>
        <w:tc>
          <w:tcPr>
            <w:tcW w:w="261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i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>Итого по административным помещениям 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i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i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i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>0,000</w:t>
            </w:r>
          </w:p>
        </w:tc>
        <w:tc>
          <w:tcPr>
            <w:tcW w:w="710" w:type="dxa"/>
            <w:gridSpan w:val="3"/>
            <w:tcBorders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i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> </w:t>
            </w:r>
          </w:p>
        </w:tc>
        <w:tc>
          <w:tcPr>
            <w:tcW w:w="1274" w:type="dxa"/>
            <w:gridSpan w:val="3"/>
            <w:tcBorders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i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> </w:t>
            </w:r>
          </w:p>
        </w:tc>
        <w:tc>
          <w:tcPr>
            <w:tcW w:w="1127" w:type="dxa"/>
            <w:gridSpan w:val="2"/>
            <w:tcBorders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i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49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10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5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92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531" w:hRule="atLeast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</w:tc>
        <w:tc>
          <w:tcPr>
            <w:tcW w:w="26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Итого по КЛИНИНГУ</w:t>
            </w: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7" w:type="dxa"/>
            <w:gridSpan w:val="2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i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i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i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>0,000</w:t>
            </w:r>
          </w:p>
        </w:tc>
        <w:tc>
          <w:tcPr>
            <w:tcW w:w="710" w:type="dxa"/>
            <w:gridSpan w:val="3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i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> </w:t>
            </w:r>
          </w:p>
        </w:tc>
        <w:tc>
          <w:tcPr>
            <w:tcW w:w="1274" w:type="dxa"/>
            <w:gridSpan w:val="3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i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> </w:t>
            </w:r>
          </w:p>
        </w:tc>
        <w:tc>
          <w:tcPr>
            <w:tcW w:w="1127" w:type="dxa"/>
            <w:gridSpan w:val="2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i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</w:tc>
        <w:tc>
          <w:tcPr>
            <w:tcW w:w="849" w:type="dxa"/>
            <w:gridSpan w:val="2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</w:tc>
        <w:tc>
          <w:tcPr>
            <w:tcW w:w="710" w:type="dxa"/>
            <w:gridSpan w:val="2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</w:tc>
        <w:tc>
          <w:tcPr>
            <w:tcW w:w="1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400" w:hRule="atLeast"/>
        </w:trPr>
        <w:tc>
          <w:tcPr>
            <w:tcW w:w="567" w:type="dxa"/>
            <w:tcBorders/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587" w:type="dxa"/>
            <w:tcBorders/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21" w:type="dxa"/>
            <w:tcBorders/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/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47" w:type="dxa"/>
            <w:gridSpan w:val="2"/>
            <w:tcBorders/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/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0" w:type="dxa"/>
            <w:gridSpan w:val="3"/>
            <w:tcBorders/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gridSpan w:val="3"/>
            <w:tcBorders/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5" w:type="dxa"/>
            <w:gridSpan w:val="3"/>
            <w:tcBorders/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НР: 92%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15" w:hRule="atLeast"/>
        </w:trPr>
        <w:tc>
          <w:tcPr>
            <w:tcW w:w="567" w:type="dxa"/>
            <w:tcBorders/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587" w:type="dxa"/>
            <w:tcBorders/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21" w:type="dxa"/>
            <w:tcBorders/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/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47" w:type="dxa"/>
            <w:gridSpan w:val="2"/>
            <w:tcBorders/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/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0" w:type="dxa"/>
            <w:gridSpan w:val="3"/>
            <w:tcBorders/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gridSpan w:val="3"/>
            <w:tcBorders/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5" w:type="dxa"/>
            <w:gridSpan w:val="3"/>
            <w:tcBorders/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СП: 44%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15" w:hRule="atLeast"/>
        </w:trPr>
        <w:tc>
          <w:tcPr>
            <w:tcW w:w="567" w:type="dxa"/>
            <w:tcBorders/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587" w:type="dxa"/>
            <w:tcBorders/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21" w:type="dxa"/>
            <w:tcBorders/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/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47" w:type="dxa"/>
            <w:gridSpan w:val="2"/>
            <w:tcBorders/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/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0" w:type="dxa"/>
            <w:gridSpan w:val="3"/>
            <w:tcBorders/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gridSpan w:val="3"/>
            <w:tcBorders/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5" w:type="dxa"/>
            <w:gridSpan w:val="3"/>
            <w:tcBorders/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ИТОГО</w:t>
            </w:r>
            <w:r>
              <w:rPr>
                <w:rFonts w:ascii="Times New Roman" w:hAnsi="Times New Roman"/>
                <w:sz w:val="18"/>
                <w:szCs w:val="18"/>
              </w:rPr>
              <w:t>, руб. без НДС: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</w:tc>
        <w:tc>
          <w:tcPr>
            <w:tcW w:w="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</w:tc>
        <w:tc>
          <w:tcPr>
            <w:tcW w:w="127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</w:tc>
        <w:tc>
          <w:tcPr>
            <w:tcW w:w="1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</w:tbl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Расчет стоимости прочих услуг по клинингу</w:t>
      </w:r>
    </w:p>
    <w:tbl>
      <w:tblPr>
        <w:tblW w:w="15167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67"/>
        <w:gridCol w:w="708"/>
        <w:gridCol w:w="1135"/>
        <w:gridCol w:w="708"/>
        <w:gridCol w:w="708"/>
        <w:gridCol w:w="851"/>
        <w:gridCol w:w="708"/>
        <w:gridCol w:w="710"/>
        <w:gridCol w:w="566"/>
        <w:gridCol w:w="567"/>
        <w:gridCol w:w="710"/>
        <w:gridCol w:w="567"/>
        <w:gridCol w:w="1133"/>
        <w:gridCol w:w="710"/>
        <w:gridCol w:w="567"/>
        <w:gridCol w:w="707"/>
        <w:gridCol w:w="710"/>
        <w:gridCol w:w="567"/>
        <w:gridCol w:w="851"/>
        <w:gridCol w:w="708"/>
        <w:gridCol w:w="705"/>
      </w:tblGrid>
      <w:tr>
        <w:trPr>
          <w:trHeight w:val="4535" w:hRule="atLeast"/>
          <w:cantSplit w:val="true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right="11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N п/п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right="113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Объект</w:t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right="11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Наименование обслуживаемой  единицы (оборудования, конструкции, сооружения)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right="11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Наименование услуги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right="11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Единица измерения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right="11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Количество (площадь, шт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.,</w:t>
            </w:r>
            <w:r>
              <w:rPr>
                <w:rFonts w:ascii="Times New Roman" w:hAnsi="Times New Roman"/>
                <w:b/>
                <w:sz w:val="20"/>
              </w:rPr>
              <w:t xml:space="preserve"> раз)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right="11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Среднее число трансакций за год</w:t>
            </w:r>
          </w:p>
        </w:tc>
        <w:tc>
          <w:tcPr>
            <w:tcW w:w="7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textDirection w:val="btLr"/>
          </w:tcPr>
          <w:p>
            <w:pPr>
              <w:pStyle w:val="Normal"/>
              <w:spacing w:lineRule="auto" w:line="240" w:before="0" w:after="0"/>
              <w:ind w:right="11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Количество (площадь, шт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.,</w:t>
            </w:r>
            <w:r>
              <w:rPr>
                <w:rFonts w:ascii="Times New Roman" w:hAnsi="Times New Roman"/>
                <w:b/>
                <w:sz w:val="20"/>
              </w:rPr>
              <w:t xml:space="preserve"> раз) в год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right="11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Обоснование 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right="113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Норма трудозатрат на ед. изм.</w:t>
            </w:r>
          </w:p>
        </w:tc>
        <w:tc>
          <w:tcPr>
            <w:tcW w:w="7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right="113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Средний разряд работ/услуг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right="113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Стоимость ч/час, руб.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right="113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Общая длительность выполнения воздействий на год ч/час</w:t>
            </w:r>
          </w:p>
        </w:tc>
        <w:tc>
          <w:tcPr>
            <w:tcW w:w="7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right="113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Общая стоимость услуг в год, руб.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right="113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МТР</w:t>
            </w:r>
          </w:p>
        </w:tc>
        <w:tc>
          <w:tcPr>
            <w:tcW w:w="7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right="11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Единица измерения</w:t>
            </w:r>
          </w:p>
        </w:tc>
        <w:tc>
          <w:tcPr>
            <w:tcW w:w="7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right="11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Норма расхода МТР на единицу работ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right="11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Количество МТР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right="113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Средства механизации, автотранспорт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right="11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Норма эксплуатации механизмов, маш/час.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right="11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Время использования механизма, маш/час</w:t>
            </w:r>
          </w:p>
        </w:tc>
      </w:tr>
      <w:tr>
        <w:trPr>
          <w:trHeight w:val="283" w:hRule="atLeast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135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7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23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</w:t>
            </w:r>
          </w:p>
        </w:tc>
      </w:tr>
    </w:tbl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Расчет стоимости материалов по клинингу</w:t>
      </w:r>
    </w:p>
    <w:tbl>
      <w:tblPr>
        <w:tblW w:w="15187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66"/>
        <w:gridCol w:w="2213"/>
        <w:gridCol w:w="4450"/>
        <w:gridCol w:w="2455"/>
        <w:gridCol w:w="1499"/>
        <w:gridCol w:w="1999"/>
        <w:gridCol w:w="2004"/>
      </w:tblGrid>
      <w:tr>
        <w:trPr>
          <w:trHeight w:val="567" w:hRule="atLeast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№ </w:t>
            </w:r>
            <w:r>
              <w:rPr>
                <w:rFonts w:ascii="Times New Roman" w:hAnsi="Times New Roman"/>
                <w:b/>
                <w:sz w:val="20"/>
              </w:rPr>
              <w:t>п/п</w:t>
            </w:r>
          </w:p>
        </w:tc>
        <w:tc>
          <w:tcPr>
            <w:tcW w:w="22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Обоснование</w:t>
            </w:r>
          </w:p>
        </w:tc>
        <w:tc>
          <w:tcPr>
            <w:tcW w:w="44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Номенклатура</w:t>
            </w:r>
          </w:p>
        </w:tc>
        <w:tc>
          <w:tcPr>
            <w:tcW w:w="24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Единица измерения</w:t>
            </w:r>
          </w:p>
        </w:tc>
        <w:tc>
          <w:tcPr>
            <w:tcW w:w="149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Количество МТР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Стоимость единицы, руб.</w:t>
            </w:r>
          </w:p>
        </w:tc>
        <w:tc>
          <w:tcPr>
            <w:tcW w:w="20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Общая стоимость, руб.</w:t>
            </w:r>
          </w:p>
        </w:tc>
      </w:tr>
      <w:tr>
        <w:trPr>
          <w:trHeight w:val="283" w:hRule="atLeast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21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4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4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9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9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200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</w:t>
            </w:r>
          </w:p>
        </w:tc>
      </w:tr>
    </w:tbl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Расчет стоимости механизмов по клинингу</w:t>
      </w:r>
    </w:p>
    <w:tbl>
      <w:tblPr>
        <w:tblW w:w="15160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95"/>
        <w:gridCol w:w="2173"/>
        <w:gridCol w:w="4460"/>
        <w:gridCol w:w="3687"/>
        <w:gridCol w:w="2272"/>
        <w:gridCol w:w="1972"/>
      </w:tblGrid>
      <w:tr>
        <w:trPr>
          <w:trHeight w:val="567" w:hRule="atLeast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№ </w:t>
            </w:r>
            <w:r>
              <w:rPr>
                <w:rFonts w:ascii="Times New Roman" w:hAnsi="Times New Roman"/>
                <w:b/>
                <w:sz w:val="20"/>
              </w:rPr>
              <w:t>п/п</w:t>
            </w:r>
          </w:p>
        </w:tc>
        <w:tc>
          <w:tcPr>
            <w:tcW w:w="21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Обоснование</w:t>
            </w:r>
          </w:p>
        </w:tc>
        <w:tc>
          <w:tcPr>
            <w:tcW w:w="44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Наименование</w:t>
            </w:r>
          </w:p>
        </w:tc>
        <w:tc>
          <w:tcPr>
            <w:tcW w:w="368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Время использования механизма, маш/час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Стоимость единицы, руб.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Общая стоимость, руб.</w:t>
            </w:r>
          </w:p>
        </w:tc>
      </w:tr>
      <w:tr>
        <w:trPr>
          <w:trHeight w:val="283" w:hRule="atLeast"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1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4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368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</w:tr>
    </w:tbl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br w:type="page"/>
      </w:r>
    </w:p>
    <w:p>
      <w:pPr>
        <w:pStyle w:val="Normal"/>
        <w:spacing w:lineRule="auto" w:line="240" w:before="0" w:after="0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  <w:t xml:space="preserve">Приложение </w:t>
      </w:r>
      <w:r>
        <w:rPr>
          <w:rFonts w:ascii="Times New Roman" w:hAnsi="Times New Roman"/>
          <w:sz w:val="20"/>
          <w:szCs w:val="20"/>
        </w:rPr>
        <w:t>4</w:t>
      </w:r>
    </w:p>
    <w:p>
      <w:pPr>
        <w:pStyle w:val="Normal"/>
        <w:tabs>
          <w:tab w:val="clear" w:pos="709"/>
          <w:tab w:val="left" w:pos="11624" w:leader="none"/>
        </w:tabs>
        <w:spacing w:lineRule="auto" w:line="240" w:before="0" w:after="0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Требованиям к оформлению и составлению</w:t>
      </w:r>
    </w:p>
    <w:p>
      <w:pPr>
        <w:pStyle w:val="Normal"/>
        <w:spacing w:lineRule="auto" w:line="240" w:before="0" w:after="0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  <w:t xml:space="preserve">расчетов на выполнение работ/услуг </w:t>
      </w:r>
    </w:p>
    <w:p>
      <w:pPr>
        <w:pStyle w:val="Normal"/>
        <w:spacing w:lineRule="auto" w:line="240" w:before="0" w:after="0"/>
        <w:ind w:left="5811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по программе технического обслуживания</w:t>
      </w:r>
    </w:p>
    <w:p>
      <w:pPr>
        <w:pStyle w:val="Normal"/>
        <w:spacing w:lineRule="auto" w:line="240" w:before="0" w:after="0"/>
        <w:ind w:left="5811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энергооборудования, </w:t>
      </w:r>
      <w:r>
        <w:rPr>
          <w:rFonts w:ascii="Times New Roman" w:hAnsi="Times New Roman"/>
          <w:sz w:val="20"/>
          <w:szCs w:val="20"/>
        </w:rPr>
        <w:t xml:space="preserve">сетей, </w:t>
      </w:r>
      <w:r>
        <w:rPr>
          <w:rFonts w:ascii="Times New Roman" w:hAnsi="Times New Roman"/>
          <w:sz w:val="20"/>
        </w:rPr>
        <w:t>зданий и сооружений.</w:t>
      </w:r>
    </w:p>
    <w:tbl>
      <w:tblPr>
        <w:tblW w:w="1587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55"/>
        <w:gridCol w:w="491"/>
        <w:gridCol w:w="1738"/>
        <w:gridCol w:w="329"/>
        <w:gridCol w:w="216"/>
        <w:gridCol w:w="554"/>
        <w:gridCol w:w="78"/>
        <w:gridCol w:w="22"/>
        <w:gridCol w:w="976"/>
        <w:gridCol w:w="781"/>
        <w:gridCol w:w="348"/>
        <w:gridCol w:w="1133"/>
        <w:gridCol w:w="880"/>
        <w:gridCol w:w="670"/>
        <w:gridCol w:w="1002"/>
        <w:gridCol w:w="603"/>
        <w:gridCol w:w="665"/>
        <w:gridCol w:w="1424"/>
        <w:gridCol w:w="186"/>
        <w:gridCol w:w="240"/>
        <w:gridCol w:w="440"/>
        <w:gridCol w:w="666"/>
        <w:gridCol w:w="827"/>
        <w:gridCol w:w="194"/>
        <w:gridCol w:w="275"/>
        <w:gridCol w:w="682"/>
      </w:tblGrid>
      <w:tr>
        <w:trPr>
          <w:trHeight w:val="255" w:hRule="atLeast"/>
        </w:trPr>
        <w:tc>
          <w:tcPr>
            <w:tcW w:w="455" w:type="dxa"/>
            <w:tcBorders/>
            <w:vAlign w:val="bottom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558" w:type="dxa"/>
            <w:gridSpan w:val="3"/>
            <w:tcBorders/>
            <w:vAlign w:val="bottom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70" w:type="dxa"/>
            <w:gridSpan w:val="4"/>
            <w:tcBorders/>
            <w:vAlign w:val="bottom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76" w:type="dxa"/>
            <w:tcBorders/>
            <w:vAlign w:val="bottom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81" w:type="dxa"/>
            <w:tcBorders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481" w:type="dxa"/>
            <w:gridSpan w:val="2"/>
            <w:tcBorders/>
            <w:vAlign w:val="bottom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550" w:type="dxa"/>
            <w:gridSpan w:val="2"/>
            <w:tcBorders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right"/>
              <w:outlineLv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70" w:type="dxa"/>
            <w:gridSpan w:val="3"/>
            <w:tcBorders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right"/>
              <w:outlineLv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0" w:type="dxa"/>
            <w:gridSpan w:val="4"/>
            <w:tcBorders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right"/>
              <w:outlineLv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44" w:type="dxa"/>
            <w:gridSpan w:val="5"/>
            <w:tcBorders/>
            <w:vAlign w:val="bottom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right"/>
              <w:outlineLv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right"/>
              <w:outlineLv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 _______</w:t>
            </w:r>
          </w:p>
        </w:tc>
      </w:tr>
      <w:tr>
        <w:trPr>
          <w:trHeight w:val="255" w:hRule="atLeast"/>
        </w:trPr>
        <w:tc>
          <w:tcPr>
            <w:tcW w:w="455" w:type="dxa"/>
            <w:tcBorders/>
            <w:vAlign w:val="bottom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558" w:type="dxa"/>
            <w:gridSpan w:val="3"/>
            <w:tcBorders/>
            <w:vAlign w:val="bottom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70" w:type="dxa"/>
            <w:gridSpan w:val="4"/>
            <w:tcBorders/>
            <w:vAlign w:val="bottom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76" w:type="dxa"/>
            <w:tcBorders/>
            <w:vAlign w:val="bottom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81" w:type="dxa"/>
            <w:tcBorders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361" w:type="dxa"/>
            <w:gridSpan w:val="3"/>
            <w:tcBorders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right"/>
              <w:outlineLv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75" w:type="dxa"/>
            <w:gridSpan w:val="3"/>
            <w:tcBorders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right"/>
              <w:outlineLv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75" w:type="dxa"/>
            <w:gridSpan w:val="3"/>
            <w:tcBorders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right"/>
              <w:outlineLv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324" w:type="dxa"/>
            <w:gridSpan w:val="7"/>
            <w:tcBorders/>
            <w:vAlign w:val="bottom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right"/>
              <w:outlineLv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 договору № _____ от "_____"___________202_г.</w:t>
            </w:r>
          </w:p>
        </w:tc>
      </w:tr>
      <w:tr>
        <w:trPr>
          <w:trHeight w:val="270" w:hRule="atLeast"/>
        </w:trPr>
        <w:tc>
          <w:tcPr>
            <w:tcW w:w="45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558" w:type="dxa"/>
            <w:gridSpan w:val="3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70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76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8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481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55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70" w:type="dxa"/>
            <w:gridSpan w:val="3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0" w:type="dxa"/>
            <w:gridSpan w:val="4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87" w:type="dxa"/>
            <w:gridSpan w:val="3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7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68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270" w:hRule="atLeast"/>
        </w:trPr>
        <w:tc>
          <w:tcPr>
            <w:tcW w:w="45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2558" w:type="dxa"/>
            <w:gridSpan w:val="3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Согласовано: (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Подрядчик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70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976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78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1481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155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2270" w:type="dxa"/>
            <w:gridSpan w:val="3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2290" w:type="dxa"/>
            <w:gridSpan w:val="4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87" w:type="dxa"/>
            <w:gridSpan w:val="3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Утверждаю: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(Заказчик)</w:t>
            </w:r>
          </w:p>
        </w:tc>
        <w:tc>
          <w:tcPr>
            <w:tcW w:w="27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68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</w:tr>
      <w:tr>
        <w:trPr>
          <w:trHeight w:val="330" w:hRule="atLeast"/>
        </w:trPr>
        <w:tc>
          <w:tcPr>
            <w:tcW w:w="45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558" w:type="dxa"/>
            <w:gridSpan w:val="3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70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76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8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481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55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70" w:type="dxa"/>
            <w:gridSpan w:val="3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0" w:type="dxa"/>
            <w:gridSpan w:val="4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44" w:type="dxa"/>
            <w:gridSpan w:val="5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300" w:hRule="atLeast"/>
        </w:trPr>
        <w:tc>
          <w:tcPr>
            <w:tcW w:w="45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558" w:type="dxa"/>
            <w:gridSpan w:val="3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_________________ Ф.И.О.</w:t>
            </w:r>
          </w:p>
        </w:tc>
        <w:tc>
          <w:tcPr>
            <w:tcW w:w="870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76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8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481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55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70" w:type="dxa"/>
            <w:gridSpan w:val="3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0" w:type="dxa"/>
            <w:gridSpan w:val="4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44" w:type="dxa"/>
            <w:gridSpan w:val="5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________________ Ф.И.О.</w:t>
            </w:r>
          </w:p>
        </w:tc>
      </w:tr>
      <w:tr>
        <w:trPr>
          <w:trHeight w:val="483" w:hRule="atLeast"/>
        </w:trPr>
        <w:tc>
          <w:tcPr>
            <w:tcW w:w="946" w:type="dxa"/>
            <w:gridSpan w:val="2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r>
          </w:p>
        </w:tc>
        <w:tc>
          <w:tcPr>
            <w:tcW w:w="2283" w:type="dxa"/>
            <w:gridSpan w:val="3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</w:r>
          </w:p>
        </w:tc>
        <w:tc>
          <w:tcPr>
            <w:tcW w:w="9136" w:type="dxa"/>
            <w:gridSpan w:val="13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Сводный расчет стоимости технического обслуживания ________на 20__-20__годы</w:t>
            </w:r>
          </w:p>
        </w:tc>
        <w:tc>
          <w:tcPr>
            <w:tcW w:w="186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40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0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666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7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94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75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68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60" w:hRule="atLeast"/>
        </w:trPr>
        <w:tc>
          <w:tcPr>
            <w:tcW w:w="946" w:type="dxa"/>
            <w:gridSpan w:val="2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color w:val="0000FF"/>
                <w:sz w:val="18"/>
                <w:szCs w:val="18"/>
              </w:rPr>
            </w:pPr>
            <w:r>
              <w:rPr>
                <w:rFonts w:ascii="Times New Roman" w:hAnsi="Times New Roman"/>
                <w:color w:val="0000FF"/>
                <w:sz w:val="18"/>
                <w:szCs w:val="18"/>
              </w:rPr>
            </w:r>
          </w:p>
        </w:tc>
        <w:tc>
          <w:tcPr>
            <w:tcW w:w="6175" w:type="dxa"/>
            <w:gridSpan w:val="10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Составлен в ценах по состоянию на 20__- 20__г.</w:t>
            </w:r>
          </w:p>
        </w:tc>
        <w:tc>
          <w:tcPr>
            <w:tcW w:w="1550" w:type="dxa"/>
            <w:gridSpan w:val="2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70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0" w:type="dxa"/>
            <w:gridSpan w:val="4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666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27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______</w:t>
            </w:r>
          </w:p>
        </w:tc>
        <w:tc>
          <w:tcPr>
            <w:tcW w:w="1151" w:type="dxa"/>
            <w:gridSpan w:val="3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руб. </w:t>
            </w:r>
          </w:p>
        </w:tc>
      </w:tr>
      <w:tr>
        <w:trPr>
          <w:trHeight w:val="739" w:hRule="atLeast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34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выполняемых услуг</w:t>
            </w:r>
          </w:p>
        </w:tc>
        <w:tc>
          <w:tcPr>
            <w:tcW w:w="21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Обоснование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Стоимость работы, руб.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Стоимость материалов, руб.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Стоимость механизмов, руб.</w:t>
            </w:r>
          </w:p>
        </w:tc>
        <w:tc>
          <w:tcPr>
            <w:tcW w:w="30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Итого, руб.</w:t>
            </w:r>
          </w:p>
        </w:tc>
      </w:tr>
      <w:tr>
        <w:trPr>
          <w:trHeight w:val="339" w:hRule="atLeast"/>
        </w:trPr>
        <w:tc>
          <w:tcPr>
            <w:tcW w:w="4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6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12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55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11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0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</w:tr>
      <w:tr>
        <w:trPr>
          <w:trHeight w:val="529" w:hRule="atLeast"/>
        </w:trPr>
        <w:tc>
          <w:tcPr>
            <w:tcW w:w="455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6" w:type="dxa"/>
            <w:gridSpan w:val="6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______________ на 20__ год</w:t>
            </w:r>
          </w:p>
        </w:tc>
        <w:tc>
          <w:tcPr>
            <w:tcW w:w="2127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Справочник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0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>
        <w:trPr>
          <w:trHeight w:val="358" w:hRule="atLeast"/>
        </w:trPr>
        <w:tc>
          <w:tcPr>
            <w:tcW w:w="455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406" w:type="dxa"/>
            <w:gridSpan w:val="6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______________ на 20__ год</w:t>
            </w:r>
          </w:p>
        </w:tc>
        <w:tc>
          <w:tcPr>
            <w:tcW w:w="2127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Справочник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0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>
        <w:trPr>
          <w:trHeight w:val="408" w:hRule="atLeast"/>
        </w:trPr>
        <w:tc>
          <w:tcPr>
            <w:tcW w:w="455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406" w:type="dxa"/>
            <w:gridSpan w:val="6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______________ на 20__ год</w:t>
            </w:r>
          </w:p>
        </w:tc>
        <w:tc>
          <w:tcPr>
            <w:tcW w:w="2127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Справочник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0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>
        <w:trPr>
          <w:trHeight w:val="256" w:hRule="atLeast"/>
        </w:trPr>
        <w:tc>
          <w:tcPr>
            <w:tcW w:w="455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3406" w:type="dxa"/>
            <w:gridSpan w:val="6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договору</w:t>
            </w:r>
          </w:p>
        </w:tc>
        <w:tc>
          <w:tcPr>
            <w:tcW w:w="2127" w:type="dxa"/>
            <w:gridSpan w:val="4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1133" w:type="dxa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30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</w:tr>
      <w:tr>
        <w:trPr>
          <w:trHeight w:val="255" w:hRule="atLeast"/>
        </w:trPr>
        <w:tc>
          <w:tcPr>
            <w:tcW w:w="455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29" w:type="dxa"/>
            <w:gridSpan w:val="2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99" w:type="dxa"/>
            <w:gridSpan w:val="3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76" w:type="dxa"/>
            <w:gridSpan w:val="3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81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481" w:type="dxa"/>
            <w:gridSpan w:val="2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550" w:type="dxa"/>
            <w:gridSpan w:val="2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70" w:type="dxa"/>
            <w:gridSpan w:val="3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0" w:type="dxa"/>
            <w:gridSpan w:val="4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666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27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51" w:type="dxa"/>
            <w:gridSpan w:val="3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255" w:hRule="atLeast"/>
        </w:trPr>
        <w:tc>
          <w:tcPr>
            <w:tcW w:w="45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328" w:type="dxa"/>
            <w:gridSpan w:val="5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Составил: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Проверил:</w:t>
            </w:r>
          </w:p>
        </w:tc>
        <w:tc>
          <w:tcPr>
            <w:tcW w:w="1076" w:type="dxa"/>
            <w:gridSpan w:val="3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8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481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55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70" w:type="dxa"/>
            <w:gridSpan w:val="3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0" w:type="dxa"/>
            <w:gridSpan w:val="4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666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27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51" w:type="dxa"/>
            <w:gridSpan w:val="3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</w:tbl>
    <w:p>
      <w:pPr>
        <w:sectPr>
          <w:footerReference w:type="default" r:id="rId41"/>
          <w:footerReference w:type="first" r:id="rId42"/>
          <w:footnotePr>
            <w:numFmt w:val="decimal"/>
            <w:numRestart w:val="eachSect"/>
          </w:footnotePr>
          <w:type w:val="nextPage"/>
          <w:pgSz w:orient="landscape" w:w="16838" w:h="11906"/>
          <w:pgMar w:left="454" w:right="454" w:gutter="0" w:header="0" w:top="567" w:footer="709" w:bottom="766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  <w:bookmarkStart w:id="51" w:name="P105"/>
      <w:bookmarkStart w:id="52" w:name="P104"/>
      <w:bookmarkStart w:id="53" w:name="P102"/>
      <w:bookmarkStart w:id="54" w:name="P90"/>
      <w:bookmarkStart w:id="55" w:name="P83"/>
      <w:bookmarkStart w:id="56" w:name="P81"/>
      <w:bookmarkStart w:id="57" w:name="P80"/>
      <w:bookmarkStart w:id="58" w:name="P79"/>
      <w:bookmarkStart w:id="59" w:name="P105"/>
      <w:bookmarkStart w:id="60" w:name="P104"/>
      <w:bookmarkStart w:id="61" w:name="P102"/>
      <w:bookmarkStart w:id="62" w:name="P90"/>
      <w:bookmarkStart w:id="63" w:name="P83"/>
      <w:bookmarkStart w:id="64" w:name="P81"/>
      <w:bookmarkStart w:id="65" w:name="P80"/>
      <w:bookmarkStart w:id="66" w:name="P79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Style w:val="Style15"/>
          <w:rFonts w:ascii="Times New Roman" w:hAnsi="Times New Roman"/>
          <w:iCs/>
        </w:rPr>
      </w:pPr>
      <w:r>
        <w:rPr>
          <w:rStyle w:val="Style15"/>
          <w:rFonts w:ascii="Times New Roman" w:hAnsi="Times New Roman"/>
          <w:iCs/>
        </w:rPr>
        <w:t>Приложение № 4</w:t>
      </w:r>
    </w:p>
    <w:p>
      <w:pPr>
        <w:pStyle w:val="Normal"/>
        <w:widowControl w:val="false"/>
        <w:pBdr>
          <w:bottom w:val="single" w:sz="4" w:space="1" w:color="000000"/>
        </w:pBdr>
        <w:tabs>
          <w:tab w:val="clear" w:pos="709"/>
          <w:tab w:val="left" w:pos="426" w:leader="none"/>
        </w:tabs>
        <w:spacing w:lineRule="auto" w:line="240" w:before="0" w:after="0"/>
        <w:jc w:val="right"/>
        <w:rPr>
          <w:rStyle w:val="Style15"/>
          <w:rFonts w:ascii="Times New Roman" w:hAnsi="Times New Roman"/>
          <w:iCs/>
        </w:rPr>
      </w:pPr>
      <w:r>
        <w:rPr>
          <w:rStyle w:val="Style15"/>
          <w:rFonts w:ascii="Times New Roman" w:hAnsi="Times New Roman"/>
          <w:iCs/>
        </w:rPr>
        <w:t xml:space="preserve">к Основным положениям </w:t>
        <w:br/>
        <w:t xml:space="preserve">по установлению требований к оформлению </w:t>
        <w:br/>
        <w:t xml:space="preserve">и составлению сметной документации </w:t>
      </w:r>
    </w:p>
    <w:p>
      <w:pPr>
        <w:pStyle w:val="Normal"/>
        <w:shd w:val="clear" w:color="auto" w:fill="FFFFFF" w:themeFill="background1"/>
        <w:tabs>
          <w:tab w:val="clear" w:pos="709"/>
          <w:tab w:val="left" w:pos="900" w:leader="none"/>
        </w:tabs>
        <w:spacing w:lineRule="auto" w:line="240" w:before="0" w:after="0"/>
        <w:ind w:firstLine="36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оформлению и составлению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сметной документации на выполнение проектных и изыскательских работ.</w:t>
      </w:r>
    </w:p>
    <w:p>
      <w:pPr>
        <w:pStyle w:val="ConsPlusNormal1"/>
        <w:numPr>
          <w:ilvl w:val="0"/>
          <w:numId w:val="26"/>
        </w:numPr>
        <w:tabs>
          <w:tab w:val="clear" w:pos="709"/>
          <w:tab w:val="left" w:pos="1134" w:leader="none"/>
        </w:tabs>
        <w:ind w:firstLine="567"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>
      <w:pPr>
        <w:pStyle w:val="ConsPlusNormal1"/>
        <w:numPr>
          <w:ilvl w:val="0"/>
          <w:numId w:val="26"/>
        </w:numPr>
        <w:tabs>
          <w:tab w:val="clear" w:pos="709"/>
          <w:tab w:val="left" w:pos="1134" w:leader="none"/>
        </w:tabs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</w:p>
    <w:p>
      <w:pPr>
        <w:pStyle w:val="ListParagraph"/>
        <w:numPr>
          <w:ilvl w:val="0"/>
          <w:numId w:val="26"/>
        </w:numPr>
        <w:tabs>
          <w:tab w:val="clear" w:pos="709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Сметы на ПИР составлять на основании технических требований (технического задания) заказчика, графиков производства работ, программы изысканий. </w:t>
      </w:r>
    </w:p>
    <w:p>
      <w:pPr>
        <w:pStyle w:val="ListParagraph"/>
        <w:numPr>
          <w:ilvl w:val="0"/>
          <w:numId w:val="26"/>
        </w:numPr>
        <w:tabs>
          <w:tab w:val="clear" w:pos="709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Сметный расчет стоимости изыскательских работ составляется в соответствии с </w:t>
      </w:r>
    </w:p>
    <w:p>
      <w:pPr>
        <w:pStyle w:val="ListParagraph"/>
        <w:tabs>
          <w:tab w:val="clear" w:pos="709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>
      <w:pPr>
        <w:pStyle w:val="ListParagraph"/>
        <w:numPr>
          <w:ilvl w:val="0"/>
          <w:numId w:val="26"/>
        </w:numPr>
        <w:tabs>
          <w:tab w:val="clear" w:pos="709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</w:t>
      </w:r>
      <w:r>
        <w:rPr>
          <w:rFonts w:ascii="Times New Roman" w:hAnsi="Times New Roman"/>
          <w:sz w:val="24"/>
          <w:szCs w:val="24"/>
          <w:highlight w:val="green"/>
        </w:rPr>
        <w:t>(далее - Методика №620) и Методики определения стоимости работ по подготовке проектной документации, утвержденной Приказом Министерства строительства и жилищно-коммунального хозяйства РФ от 1 октября 2021 г. N 707/пр. (далее – Методика №707) не противоречащим положениям Методики №620 и Справочникам базовых цен (далее – СБЦ) на проектные работы в строительстве .</w:t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pStyle w:val="ListParagraph"/>
        <w:numPr>
          <w:ilvl w:val="0"/>
          <w:numId w:val="26"/>
        </w:numPr>
        <w:tabs>
          <w:tab w:val="clear" w:pos="709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письмом Госстроя России от 31.03.2004 № НЗ-2078/10 и внесенного в ФРСН нормативов или иного актуального документа.  </w:t>
      </w:r>
    </w:p>
    <w:p>
      <w:pPr>
        <w:pStyle w:val="ListParagraph"/>
        <w:numPr>
          <w:ilvl w:val="0"/>
          <w:numId w:val="26"/>
        </w:numPr>
        <w:tabs>
          <w:tab w:val="clear" w:pos="709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определении стоимости изыскательских работ </w:t>
      </w:r>
      <w:r>
        <w:rPr>
          <w:rFonts w:ascii="Times New Roman" w:hAnsi="Times New Roman"/>
          <w:b/>
          <w:sz w:val="24"/>
          <w:szCs w:val="24"/>
        </w:rPr>
        <w:t>по согласованию с Заказчиком</w:t>
      </w:r>
      <w:r>
        <w:rPr>
          <w:rFonts w:ascii="Times New Roman" w:hAnsi="Times New Roman"/>
          <w:sz w:val="24"/>
          <w:szCs w:val="24"/>
        </w:rPr>
        <w:t xml:space="preserve"> возможно применять следующие коэффициенты в соответствии с письмом ПАО «ПНИИИС» от 03.04.2014 №11/298:</w:t>
      </w:r>
    </w:p>
    <w:p>
      <w:pPr>
        <w:pStyle w:val="ListParagraph"/>
        <w:numPr>
          <w:ilvl w:val="0"/>
          <w:numId w:val="21"/>
        </w:numPr>
        <w:tabs>
          <w:tab w:val="clear" w:pos="709"/>
          <w:tab w:val="left" w:pos="567" w:leader="none"/>
        </w:tabs>
        <w:spacing w:lineRule="auto" w:line="240" w:before="0" w:after="0"/>
        <w:ind w:firstLine="283" w:left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1,75 – «выполнение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>
      <w:pPr>
        <w:pStyle w:val="ListParagraph"/>
        <w:numPr>
          <w:ilvl w:val="0"/>
          <w:numId w:val="21"/>
        </w:numPr>
        <w:tabs>
          <w:tab w:val="clear" w:pos="709"/>
          <w:tab w:val="left" w:pos="567" w:leader="none"/>
        </w:tabs>
        <w:spacing w:lineRule="auto" w:line="240" w:before="0" w:after="0"/>
        <w:ind w:firstLine="283" w:left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>
      <w:pPr>
        <w:pStyle w:val="ListParagraph"/>
        <w:numPr>
          <w:ilvl w:val="0"/>
          <w:numId w:val="21"/>
        </w:numPr>
        <w:tabs>
          <w:tab w:val="clear" w:pos="709"/>
          <w:tab w:val="left" w:pos="567" w:leader="none"/>
        </w:tabs>
        <w:spacing w:lineRule="auto" w:line="240" w:before="0" w:after="0"/>
        <w:ind w:firstLine="283" w:left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1,25 – «при выполнении полевых работ на территориях гидроэлектростанций» (п. 8 в Общих указаний) – на станциях Северного Кавказа и Амурской области;</w:t>
      </w:r>
    </w:p>
    <w:p>
      <w:pPr>
        <w:pStyle w:val="ListParagraph"/>
        <w:numPr>
          <w:ilvl w:val="0"/>
          <w:numId w:val="21"/>
        </w:numPr>
        <w:tabs>
          <w:tab w:val="clear" w:pos="709"/>
          <w:tab w:val="left" w:pos="567" w:leader="none"/>
        </w:tabs>
        <w:spacing w:lineRule="auto" w:line="240" w:before="0" w:after="0"/>
        <w:ind w:firstLine="283" w:left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1,15 – «при выполнении полевых работ на территориях гидроэлектростанций </w:t>
      </w:r>
      <w:r>
        <w:rPr>
          <w:rFonts w:ascii="Times New Roman" w:hAnsi="Times New Roman"/>
          <w:sz w:val="24"/>
          <w:szCs w:val="24"/>
          <w:highlight w:val="green"/>
        </w:rPr>
        <w:t>и ТЭЦ»</w:t>
      </w:r>
      <w:r>
        <w:rPr>
          <w:rFonts w:ascii="Times New Roman" w:hAnsi="Times New Roman"/>
          <w:sz w:val="24"/>
          <w:szCs w:val="24"/>
        </w:rPr>
        <w:t xml:space="preserve"> (п. 8 в Общих указаний) – на всех гидроэлектростанциях и ТЭЦ, кроме станций Северного Кавказа и Амурской области</w:t>
      </w:r>
    </w:p>
    <w:p>
      <w:pPr>
        <w:pStyle w:val="ListParagraph"/>
        <w:numPr>
          <w:ilvl w:val="0"/>
          <w:numId w:val="26"/>
        </w:numPr>
        <w:tabs>
          <w:tab w:val="clear" w:pos="709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>
      <w:pPr>
        <w:pStyle w:val="ListParagraph"/>
        <w:numPr>
          <w:ilvl w:val="0"/>
          <w:numId w:val="26"/>
        </w:numPr>
        <w:tabs>
          <w:tab w:val="clear" w:pos="709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>
      <w:pPr>
        <w:pStyle w:val="ListParagraph"/>
        <w:numPr>
          <w:ilvl w:val="0"/>
          <w:numId w:val="26"/>
        </w:numPr>
        <w:tabs>
          <w:tab w:val="clear" w:pos="709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>
      <w:pPr>
        <w:pStyle w:val="ListParagraph"/>
        <w:numPr>
          <w:ilvl w:val="0"/>
          <w:numId w:val="26"/>
        </w:numPr>
        <w:tabs>
          <w:tab w:val="clear" w:pos="709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>
      <w:pPr>
        <w:pStyle w:val="ListParagraph"/>
        <w:numPr>
          <w:ilvl w:val="0"/>
          <w:numId w:val="26"/>
        </w:numPr>
        <w:tabs>
          <w:tab w:val="clear" w:pos="709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органа исполнительной власти, уполномоченного в области сметного нормирования и ценообразования в сфере градостроительной деятельности.</w:t>
      </w:r>
    </w:p>
    <w:p>
      <w:pPr>
        <w:pStyle w:val="ListParagraph"/>
        <w:numPr>
          <w:ilvl w:val="0"/>
          <w:numId w:val="26"/>
        </w:numPr>
        <w:tabs>
          <w:tab w:val="clear" w:pos="709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 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>
      <w:pPr>
        <w:pStyle w:val="ListParagraph"/>
        <w:numPr>
          <w:ilvl w:val="0"/>
          <w:numId w:val="26"/>
        </w:numPr>
        <w:tabs>
          <w:tab w:val="clear" w:pos="709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  <w:highlight w:val="lightGray"/>
        </w:rPr>
      </w:pPr>
      <w:r>
        <w:rPr>
          <w:rFonts w:ascii="Times New Roman" w:hAnsi="Times New Roman"/>
          <w:sz w:val="24"/>
          <w:szCs w:val="24"/>
          <w:highlight w:val="green"/>
        </w:rPr>
        <w:t>При составлении сметной документации на подготовку проектной документации рекомендуется дополнить Технические требования пунктом о составлении проектной организацией Ведомости объемов конструктивных решений (элементов) и комплексов (видов) работ, оборудования</w:t>
      </w:r>
      <w:r>
        <w:rPr>
          <w:rFonts w:ascii="Times New Roman" w:hAnsi="Times New Roman"/>
          <w:sz w:val="24"/>
          <w:szCs w:val="24"/>
          <w:highlight w:val="lightGray"/>
        </w:rPr>
        <w:t>.</w:t>
      </w:r>
    </w:p>
    <w:p>
      <w:pPr>
        <w:pStyle w:val="ConsPlusNormal1"/>
        <w:widowControl/>
        <w:numPr>
          <w:ilvl w:val="0"/>
          <w:numId w:val="26"/>
        </w:numPr>
        <w:tabs>
          <w:tab w:val="clear" w:pos="709"/>
          <w:tab w:val="left" w:pos="1134" w:leader="none"/>
        </w:tabs>
        <w:spacing w:before="40" w:after="40"/>
        <w:ind w:firstLine="567" w:left="0"/>
        <w:jc w:val="both"/>
        <w:rPr>
          <w:rFonts w:ascii="Times New Roman" w:hAnsi="Times New Roman" w:cs="Times New Roman"/>
          <w:b/>
          <w:color w:val="FF0000"/>
          <w:sz w:val="24"/>
          <w:szCs w:val="24"/>
          <w:highlight w:val="green"/>
        </w:rPr>
      </w:pPr>
      <w:r>
        <w:rPr>
          <w:rFonts w:cs="Times New Roman" w:ascii="Times New Roman" w:hAnsi="Times New Roman"/>
          <w:sz w:val="24"/>
          <w:szCs w:val="24"/>
          <w:highlight w:val="green"/>
        </w:rPr>
        <w:t xml:space="preserve">В сметных расчетах допускается использовать прогнозные индексы-дефляторы в соответствии с текущим прогнозом Министерства экономического развития РФ по строке ИПЦ (индекс потребительских цен), в среднем за год, вариант – базовый (указать реквизиты приказа при формировании ТТ) в размере … (указать размер применяемых индексов-дефляторов). </w:t>
      </w:r>
    </w:p>
    <w:p>
      <w:pPr>
        <w:pStyle w:val="ConsPlusNormal1"/>
        <w:widowControl/>
        <w:tabs>
          <w:tab w:val="clear" w:pos="709"/>
          <w:tab w:val="left" w:pos="1134" w:leader="none"/>
        </w:tabs>
        <w:spacing w:before="40" w:after="40"/>
        <w:ind w:hanging="0" w:left="567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>
        <w:rPr>
          <w:rFonts w:cs="Times New Roman" w:ascii="Times New Roman" w:hAnsi="Times New Roman"/>
          <w:sz w:val="24"/>
          <w:szCs w:val="24"/>
          <w:highlight w:val="green"/>
        </w:rPr>
        <w:t xml:space="preserve">Стоимость работ определяется по формуле: </w:t>
      </w:r>
    </w:p>
    <w:p>
      <w:pPr>
        <w:pStyle w:val="ConsPlusNormal1"/>
        <w:spacing w:before="40" w:after="40"/>
        <w:ind w:firstLine="1276"/>
        <w:jc w:val="both"/>
        <w:rPr>
          <w:rFonts w:ascii="Times New Roman" w:hAnsi="Times New Roman" w:cs="Times New Roman"/>
          <w:color w:val="000000"/>
          <w:sz w:val="24"/>
          <w:szCs w:val="24"/>
          <w:highlight w:val="green"/>
        </w:rPr>
      </w:pPr>
      <w:r>
        <w:rPr>
          <w:rFonts w:cs="Times New Roman" w:ascii="Times New Roman" w:hAnsi="Times New Roman"/>
          <w:color w:val="000000"/>
          <w:sz w:val="24"/>
          <w:szCs w:val="24"/>
          <w:highlight w:val="green"/>
        </w:rPr>
        <w:t xml:space="preserve">  </w:t>
      </w: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Цд</m:t>
        </m:r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С</m:t>
        </m:r>
        <m:r>
          <w:rPr>
            <w:rFonts w:ascii="Cambria Math" w:hAnsi="Cambria Math"/>
          </w:rPr>
          <m:t xml:space="preserve">∗</m:t>
        </m:r>
        <m:r>
          <w:rPr>
            <w:rFonts w:ascii="Cambria Math" w:hAnsi="Cambria Math"/>
          </w:rPr>
          <m:t xml:space="preserve">Иинфл</m:t>
        </m:r>
        <m:d>
          <m:dPr>
            <m:begChr m:val="("/>
            <m:endChr m:val=")"/>
          </m:dPr>
          <m:e>
            <m:r>
              <w:rPr>
                <w:rFonts w:ascii="Cambria Math" w:hAnsi="Cambria Math"/>
              </w:rPr>
              <m:t xml:space="preserve">1</m:t>
            </m:r>
          </m:e>
        </m:d>
      </m:oMath>
    </w:p>
    <w:p>
      <w:pPr>
        <w:pStyle w:val="ConsPlusNormal1"/>
        <w:widowControl/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highlight w:val="green"/>
        </w:rPr>
      </w:pPr>
      <w:r>
        <w:rPr>
          <w:rFonts w:cs="Times New Roman" w:ascii="Times New Roman" w:hAnsi="Times New Roman"/>
          <w:color w:val="000000"/>
          <w:sz w:val="24"/>
          <w:szCs w:val="24"/>
          <w:highlight w:val="green"/>
        </w:rPr>
        <w:t>где</w:t>
      </w:r>
    </w:p>
    <w:p>
      <w:pPr>
        <w:pStyle w:val="ConsPlusNormal1"/>
        <w:widowControl/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highlight w:val="green"/>
        </w:rPr>
      </w:pPr>
      <w:r>
        <w:rPr>
          <w:rFonts w:cs="Times New Roman" w:ascii="Times New Roman" w:hAnsi="Times New Roman"/>
          <w:color w:val="000000"/>
          <w:sz w:val="24"/>
          <w:szCs w:val="24"/>
          <w:highlight w:val="green"/>
        </w:rPr>
        <w:t>Цд – стоимость договора;</w:t>
      </w:r>
    </w:p>
    <w:p>
      <w:pPr>
        <w:pStyle w:val="ConsPlusNormal1"/>
        <w:widowControl/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highlight w:val="green"/>
        </w:rPr>
      </w:pPr>
      <w:r>
        <w:rPr>
          <w:rFonts w:cs="Times New Roman" w:ascii="Times New Roman" w:hAnsi="Times New Roman"/>
          <w:color w:val="000000"/>
          <w:sz w:val="24"/>
          <w:szCs w:val="24"/>
          <w:highlight w:val="green"/>
        </w:rPr>
        <w:t xml:space="preserve">С - сметная стоимость подрядных работ, подлежащих выполнению подрядчиком; </w:t>
      </w:r>
    </w:p>
    <w:p>
      <w:pPr>
        <w:pStyle w:val="ConsPlusNormal1"/>
        <w:widowControl/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highlight w:val="green"/>
        </w:rPr>
      </w:pPr>
      <w:r>
        <w:rPr>
          <w:rFonts w:cs="Times New Roman" w:ascii="Times New Roman" w:hAnsi="Times New Roman"/>
          <w:color w:val="000000"/>
          <w:sz w:val="24"/>
          <w:szCs w:val="24"/>
          <w:highlight w:val="green"/>
        </w:rPr>
        <w:t>Иинф – индекс инфляции, рассчитываемый как среднее арифметическое значение между индексами прогнозной инфляции на даты начала и окончания работ. При расчете индекса прогнозной инфляции определение периода выполнения работ осуществляется исходя из продолжительности, установленной заказчиком в задании на выполнение проектных и изыскательских работ.</w:t>
      </w:r>
    </w:p>
    <w:p>
      <w:pPr>
        <w:pStyle w:val="ConsPlusNormal1"/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highlight w:val="green"/>
        </w:rPr>
      </w:pPr>
      <w:r>
        <w:rPr>
          <w:rFonts w:cs="Times New Roman" w:ascii="Times New Roman" w:hAnsi="Times New Roman"/>
          <w:color w:val="000000"/>
          <w:sz w:val="24"/>
          <w:szCs w:val="24"/>
          <w:highlight w:val="green"/>
        </w:rPr>
      </w:r>
    </w:p>
    <w:p>
      <w:pPr>
        <w:pStyle w:val="ConsPlusNormal1"/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highlight w:val="green"/>
        </w:rPr>
      </w:pPr>
      <w:r>
        <w:rPr>
          <w:rFonts w:cs="Times New Roman" w:ascii="Times New Roman" w:hAnsi="Times New Roman"/>
          <w:color w:val="000000"/>
          <w:sz w:val="24"/>
          <w:szCs w:val="24"/>
          <w:highlight w:val="green"/>
        </w:rPr>
        <w:t xml:space="preserve">В случае, если срок выполнения работ превышает календарный год, то индекс инфляции определяется по формуле: </w:t>
      </w:r>
    </w:p>
    <w:p>
      <w:pPr>
        <w:pStyle w:val="ConsPlusNormal1"/>
        <w:widowControl/>
        <w:spacing w:before="40" w:after="40"/>
        <w:ind w:firstLine="426"/>
        <w:jc w:val="center"/>
        <w:rPr>
          <w:rFonts w:ascii="Times New Roman" w:hAnsi="Times New Roman" w:cs="Times New Roman"/>
          <w:color w:val="000000"/>
          <w:sz w:val="24"/>
          <w:szCs w:val="24"/>
          <w:highlight w:val="green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r>
            <w:rPr>
              <w:rFonts w:ascii="Cambria Math" w:hAnsi="Cambria Math"/>
            </w:rPr>
            <m:t xml:space="preserve">И</m:t>
          </m:r>
          <m:r>
            <w:rPr>
              <w:rFonts w:ascii="Cambria Math" w:hAnsi="Cambria Math"/>
            </w:rPr>
            <m:t xml:space="preserve">инф</m:t>
          </m:r>
          <m:r>
            <w:rPr>
              <w:rFonts w:ascii="Cambria Math" w:hAnsi="Cambria Math"/>
            </w:rPr>
            <m:t xml:space="preserve">=</m:t>
          </m:r>
          <m:r>
            <w:rPr>
              <w:rFonts w:ascii="Cambria Math" w:hAnsi="Cambria Math"/>
            </w:rPr>
            <m:t xml:space="preserve">Д</m:t>
          </m:r>
          <m:r>
            <w:rPr>
              <w:rFonts w:ascii="Cambria Math" w:hAnsi="Cambria Math"/>
            </w:rPr>
            <m:t xml:space="preserve">1</m:t>
          </m:r>
          <m:r>
            <w:rPr>
              <w:rFonts w:ascii="Cambria Math" w:hAnsi="Cambria Math"/>
            </w:rPr>
            <m:t xml:space="preserve">∗</m:t>
          </m:r>
          <m:r>
            <w:rPr>
              <w:rFonts w:ascii="Cambria Math" w:hAnsi="Cambria Math"/>
            </w:rPr>
            <m:t xml:space="preserve">К</m:t>
          </m:r>
          <m:r>
            <w:rPr>
              <w:rFonts w:ascii="Cambria Math" w:hAnsi="Cambria Math"/>
            </w:rPr>
            <m:t xml:space="preserve">1</m:t>
          </m:r>
          <m:r>
            <w:rPr>
              <w:rFonts w:ascii="Cambria Math" w:hAnsi="Cambria Math"/>
            </w:rPr>
            <m:t xml:space="preserve">+</m:t>
          </m:r>
          <m:r>
            <w:rPr>
              <w:rFonts w:ascii="Cambria Math" w:hAnsi="Cambria Math"/>
            </w:rPr>
            <m:t xml:space="preserve">Д</m:t>
          </m:r>
          <m:r>
            <w:rPr>
              <w:rFonts w:ascii="Cambria Math" w:hAnsi="Cambria Math"/>
            </w:rPr>
            <m:t xml:space="preserve">2</m:t>
          </m:r>
          <m:r>
            <w:rPr>
              <w:rFonts w:ascii="Cambria Math" w:hAnsi="Cambria Math"/>
            </w:rPr>
            <m:t xml:space="preserve">∗</m:t>
          </m:r>
          <m:r>
            <w:rPr>
              <w:rFonts w:ascii="Cambria Math" w:hAnsi="Cambria Math"/>
            </w:rPr>
            <m:t xml:space="preserve">К</m:t>
          </m:r>
          <m:r>
            <w:rPr>
              <w:rFonts w:ascii="Cambria Math" w:hAnsi="Cambria Math"/>
            </w:rPr>
            <m:t xml:space="preserve">2</m:t>
          </m:r>
          <m:r>
            <w:rPr>
              <w:rFonts w:ascii="Cambria Math" w:hAnsi="Cambria Math"/>
            </w:rPr>
            <m:t xml:space="preserve">+</m:t>
          </m:r>
          <m:r>
            <w:rPr>
              <w:rFonts w:ascii="Cambria Math" w:hAnsi="Cambria Math"/>
            </w:rPr>
            <m:t xml:space="preserve">...</m:t>
          </m:r>
          <m:r>
            <w:rPr>
              <w:rFonts w:ascii="Cambria Math" w:hAnsi="Cambria Math"/>
            </w:rPr>
            <m:t xml:space="preserve">+</m:t>
          </m:r>
          <m:r>
            <w:rPr>
              <w:rFonts w:ascii="Cambria Math" w:hAnsi="Cambria Math"/>
            </w:rPr>
            <m:t xml:space="preserve">Д</m:t>
          </m:r>
          <m:r>
            <w:rPr>
              <w:rFonts w:ascii="Cambria Math" w:hAnsi="Cambria Math"/>
            </w:rPr>
            <m:t xml:space="preserve">i</m:t>
          </m:r>
          <m:r>
            <w:rPr>
              <w:rFonts w:ascii="Cambria Math" w:hAnsi="Cambria Math"/>
            </w:rPr>
            <m:t xml:space="preserve">∗</m:t>
          </m:r>
          <m:r>
            <w:rPr>
              <w:rFonts w:ascii="Cambria Math" w:hAnsi="Cambria Math"/>
            </w:rPr>
            <m:t xml:space="preserve">К</m:t>
          </m:r>
          <m:r>
            <w:rPr>
              <w:rFonts w:ascii="Cambria Math" w:hAnsi="Cambria Math"/>
            </w:rPr>
            <m:t xml:space="preserve">i</m:t>
          </m:r>
          <m:d>
            <m:dPr>
              <m:begChr m:val="("/>
              <m:endChr m:val=")"/>
            </m:dPr>
            <m:e>
              <m:r>
                <w:rPr>
                  <w:rFonts w:ascii="Cambria Math" w:hAnsi="Cambria Math"/>
                </w:rPr>
                <m:t xml:space="preserve">2</m:t>
              </m:r>
            </m:e>
          </m:d>
        </m:oMath>
      </m:oMathPara>
    </w:p>
    <w:p>
      <w:pPr>
        <w:pStyle w:val="ConsPlusNormal1"/>
        <w:widowControl/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highlight w:val="green"/>
        </w:rPr>
      </w:pPr>
      <w:r>
        <w:rPr>
          <w:rFonts w:cs="Times New Roman" w:ascii="Times New Roman" w:hAnsi="Times New Roman"/>
          <w:color w:val="000000"/>
          <w:sz w:val="24"/>
          <w:szCs w:val="24"/>
          <w:highlight w:val="green"/>
        </w:rPr>
        <w:t>где</w:t>
      </w:r>
    </w:p>
    <w:p>
      <w:pPr>
        <w:pStyle w:val="Dt-p"/>
        <w:shd w:val="clear" w:color="auto" w:fill="FFFFFF"/>
        <w:spacing w:beforeAutospacing="0" w:before="0" w:afterAutospacing="0" w:after="0"/>
        <w:ind w:firstLine="567"/>
        <w:jc w:val="both"/>
        <w:textAlignment w:val="baseline"/>
        <w:rPr>
          <w:color w:val="000000"/>
          <w:highlight w:val="green"/>
        </w:rPr>
      </w:pPr>
      <w:r>
        <w:rPr>
          <w:color w:val="000000"/>
          <w:highlight w:val="green"/>
        </w:rPr>
        <w:t>Д1,Д2,Д</w:t>
      </w:r>
      <w:r>
        <w:rPr>
          <w:color w:val="000000"/>
          <w:highlight w:val="green"/>
          <w:lang w:val="en-US"/>
        </w:rPr>
        <w:t>i</w:t>
      </w:r>
      <w:r>
        <w:rPr>
          <w:color w:val="000000"/>
          <w:highlight w:val="green"/>
        </w:rPr>
        <w:t xml:space="preserve"> - доля сметной стоимости работ, подлежащих выполнению соответственно в 1-й, 2-й, 3-й, i-ый годы строительства;</w:t>
      </w:r>
      <w:bookmarkStart w:id="67" w:name="l170"/>
      <w:bookmarkEnd w:id="67"/>
    </w:p>
    <w:p>
      <w:pPr>
        <w:pStyle w:val="Dt-p"/>
        <w:shd w:val="clear" w:color="auto" w:fill="FFFFFF"/>
        <w:spacing w:beforeAutospacing="0" w:before="0" w:afterAutospacing="0" w:after="0"/>
        <w:ind w:firstLine="567"/>
        <w:jc w:val="both"/>
        <w:textAlignment w:val="baseline"/>
        <w:rPr>
          <w:color w:val="000000"/>
          <w:highlight w:val="green"/>
        </w:rPr>
      </w:pPr>
      <w:r>
        <w:rPr>
          <w:color w:val="000000"/>
          <w:highlight w:val="green"/>
        </w:rPr>
        <w:t>i - год завершения строительства объекта;</w:t>
      </w:r>
    </w:p>
    <w:p>
      <w:pPr>
        <w:pStyle w:val="Dt-p"/>
        <w:shd w:val="clear" w:color="auto" w:fill="FFFFFF"/>
        <w:spacing w:beforeAutospacing="0" w:before="0" w:afterAutospacing="0" w:after="0"/>
        <w:ind w:firstLine="567"/>
        <w:jc w:val="both"/>
        <w:textAlignment w:val="baseline"/>
        <w:rPr>
          <w:color w:val="000000"/>
          <w:highlight w:val="green"/>
        </w:rPr>
      </w:pPr>
      <w:r>
        <w:rPr>
          <w:color w:val="000000"/>
          <w:highlight w:val="green"/>
        </w:rPr>
        <w:t>К1 - индекс прогнозной инфляции за первый год строительства объекта, определяемый как среднее арифметическое между индексом прогнозной инфляции на дату начала строительства объекта и индексом прогнозной инфляции на декабрь первого года строительства объекта;</w:t>
      </w:r>
      <w:bookmarkStart w:id="68" w:name="l38"/>
      <w:bookmarkEnd w:id="68"/>
    </w:p>
    <w:p>
      <w:pPr>
        <w:pStyle w:val="Dt-p"/>
        <w:shd w:val="clear" w:color="auto" w:fill="FFFFFF"/>
        <w:spacing w:beforeAutospacing="0" w:before="0" w:afterAutospacing="0" w:after="0"/>
        <w:ind w:firstLine="567"/>
        <w:jc w:val="both"/>
        <w:textAlignment w:val="baseline"/>
        <w:rPr>
          <w:color w:val="000000"/>
          <w:highlight w:val="green"/>
        </w:rPr>
      </w:pPr>
      <w:r>
        <w:rPr>
          <w:color w:val="000000"/>
          <w:highlight w:val="green"/>
        </w:rPr>
        <w:t>К2 - индекс прогнозной инфляции, учитывающий инфляцию за первый и второй годы строительства объекта. Рассчитывается как произведение индекса прогнозной инфляции, устанавливаемого нарастающим итогом на декабрь первого года строительства объекта, и индекса прогнозной инфляции на второй год строительства объекта, определенного как среднее арифметическое между индексом прогнозной инфляции на январь второго года строительства объекта и индекса прогнозной инфляции на декабрь второго года строительства объекта;</w:t>
      </w:r>
      <w:bookmarkStart w:id="69" w:name="l39"/>
      <w:bookmarkStart w:id="70" w:name="l171"/>
      <w:bookmarkEnd w:id="69"/>
      <w:bookmarkEnd w:id="70"/>
    </w:p>
    <w:p>
      <w:pPr>
        <w:pStyle w:val="ConsPlusNormal1"/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  <w:highlight w:val="green"/>
        </w:rPr>
        <w:t>К3 - индекс прогнозной инфляции, учитывающий инфляцию за весь период строительства объекта. Указанный индекс рассчитывается как произведение индекса прогнозной инфляции, устанавливаемого нарастающим итогом на декабрь предшествующего года строительства объекта, и индекса прогнозной инфляции на последний год строительства объекта, определенного как среднее арифметическое между индексом прогнозной инфляции на январь последнего года строительства объекта и индексом прогнозной инфляции на дату окончания строительства объекта в последнем году.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ConsPlusNormal1"/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highlight w:val="green"/>
        </w:rPr>
        <w:t xml:space="preserve"> </w:t>
      </w:r>
      <w:r>
        <w:rPr>
          <w:rFonts w:cs="Times New Roman" w:ascii="Times New Roman" w:hAnsi="Times New Roman"/>
          <w:sz w:val="24"/>
          <w:szCs w:val="24"/>
          <w:highlight w:val="green"/>
        </w:rPr>
        <w:t>При этом:</w:t>
      </w:r>
    </w:p>
    <w:p>
      <w:pPr>
        <w:pStyle w:val="ConsPlusNormal1"/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>
        <w:rPr>
          <w:rFonts w:cs="Times New Roman" w:ascii="Times New Roman" w:hAnsi="Times New Roman"/>
          <w:sz w:val="24"/>
          <w:szCs w:val="24"/>
          <w:highlight w:val="green"/>
        </w:rPr>
        <w:t>1) если срок выполнения работ указан в целом по договору (дата начала работ – дата окончание работ), применяется единый дефлятор, в соответствии с формулой (1)</w:t>
      </w:r>
    </w:p>
    <w:p>
      <w:pPr>
        <w:pStyle w:val="ConsPlusNormal1"/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highlight w:val="green"/>
        </w:rPr>
        <w:t>2) если договором предусмотрен график выполнения работ с разбивкой на этапы (дата начала работ по этапу – дата окончания работ по этапу), дефлятор применяется в соответствии с таким графиком, и рассчитывается на каждый этап, в соответствии с формулой (2).</w:t>
      </w:r>
    </w:p>
    <w:p>
      <w:pPr>
        <w:pStyle w:val="ConsPlusNormal1"/>
        <w:widowControl/>
        <w:spacing w:before="40" w:after="40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</w:rPr>
      </w:r>
    </w:p>
    <w:p>
      <w:pPr>
        <w:pStyle w:val="ListParagraph"/>
        <w:numPr>
          <w:ilvl w:val="0"/>
          <w:numId w:val="26"/>
        </w:numPr>
        <w:tabs>
          <w:tab w:val="clear" w:pos="709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</w:p>
    <w:p>
      <w:pPr>
        <w:pStyle w:val="ListParagraph"/>
        <w:numPr>
          <w:ilvl w:val="0"/>
          <w:numId w:val="26"/>
        </w:numPr>
        <w:tabs>
          <w:tab w:val="clear" w:pos="709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</w:p>
    <w:p>
      <w:pPr>
        <w:pStyle w:val="ConsPlusNormal1"/>
        <w:numPr>
          <w:ilvl w:val="0"/>
          <w:numId w:val="26"/>
        </w:numPr>
        <w:tabs>
          <w:tab w:val="clear" w:pos="709"/>
          <w:tab w:val="left" w:pos="1134" w:leader="none"/>
        </w:tabs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Методики №620, либо по нормативному акту, пришедшему на смену данному документу.</w:t>
      </w:r>
    </w:p>
    <w:p>
      <w:pPr>
        <w:pStyle w:val="ConsPlusNormal1"/>
        <w:numPr>
          <w:ilvl w:val="0"/>
          <w:numId w:val="26"/>
        </w:numPr>
        <w:tabs>
          <w:tab w:val="clear" w:pos="709"/>
          <w:tab w:val="left" w:pos="1134" w:leader="none"/>
        </w:tabs>
        <w:ind w:firstLine="567"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Стоимость работ, цены на которые отсутствуют в МНЗ и СБЦ, внесенных в </w:t>
      </w:r>
      <w:r>
        <w:rPr>
          <w:rFonts w:cs="Times New Roman" w:ascii="Times New Roman" w:hAnsi="Times New Roman"/>
          <w:sz w:val="24"/>
          <w:szCs w:val="24"/>
        </w:rPr>
        <w:t>ФРСН</w:t>
      </w:r>
      <w:r>
        <w:rPr>
          <w:rFonts w:ascii="Times New Roman" w:hAnsi="Times New Roman"/>
          <w:sz w:val="24"/>
          <w:szCs w:val="24"/>
        </w:rPr>
        <w:t xml:space="preserve">, возможно определять сметным расчетом по себестоимости и сложившемуся уровню рентабельности (форма </w:t>
      </w:r>
      <w:r>
        <w:fldChar w:fldCharType="begin"/>
      </w:r>
      <w:r>
        <w:rPr>
          <w:rStyle w:val="Hyperlink"/>
          <w:sz w:val="24"/>
          <w:szCs w:val="24"/>
          <w:rFonts w:ascii="Times New Roman" w:hAnsi="Times New Roman"/>
        </w:rPr>
        <w:instrText xml:space="preserve"> HYPERLINK "../../../../../../../../../H:/AppData/Local%20Settings/Temporary%20Internet%20Files/OLK7/%D0%9F%D0%BE%D1%81%D0%BE%D0%B1%D0%B8%D0%B5%20%D0%BF%D0%BE%20%D0%B8%D0%BD%D0%B6%D0%B5%D0%BD%D0%B5%D1%80%D0%BD%D1%8B%D0%BC%20%D0%B8%D0%B7%D1%8B%D1%81%D0%BA%D0%B0%D0%BD%D0%B8%D1%8F%D0%BC_2004.htm" \l "PO0000052%23PO0000052" \n Форма 3П</w:instrText>
      </w:r>
      <w:r>
        <w:rPr>
          <w:rStyle w:val="Hyperlink"/>
          <w:sz w:val="24"/>
          <w:szCs w:val="24"/>
          <w:rFonts w:ascii="Times New Roman" w:hAnsi="Times New Roman"/>
        </w:rPr>
        <w:fldChar w:fldCharType="separate"/>
      </w:r>
      <w:r>
        <w:rPr>
          <w:rStyle w:val="Hyperlink"/>
          <w:rFonts w:ascii="Times New Roman" w:hAnsi="Times New Roman"/>
          <w:sz w:val="24"/>
          <w:szCs w:val="24"/>
        </w:rPr>
        <w:t>3п</w:t>
      </w:r>
      <w:r>
        <w:rPr>
          <w:rStyle w:val="Hyperlink"/>
          <w:sz w:val="24"/>
          <w:szCs w:val="24"/>
          <w:rFonts w:ascii="Times New Roman" w:hAnsi="Times New Roman"/>
        </w:rPr>
        <w:fldChar w:fldCharType="end"/>
      </w:r>
      <w:r>
        <w:rPr>
          <w:rFonts w:ascii="Times New Roman" w:hAnsi="Times New Roman"/>
          <w:sz w:val="24"/>
          <w:szCs w:val="24"/>
        </w:rPr>
        <w:t>) по согласованию с Заказчиком.</w:t>
      </w:r>
    </w:p>
    <w:p>
      <w:pPr>
        <w:pStyle w:val="ConsPlusNormal1"/>
        <w:numPr>
          <w:ilvl w:val="0"/>
          <w:numId w:val="26"/>
        </w:numPr>
        <w:tabs>
          <w:tab w:val="clear" w:pos="709"/>
          <w:tab w:val="left" w:pos="1134" w:leader="none"/>
        </w:tabs>
        <w:ind w:firstLine="567"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>
      <w:pPr>
        <w:pStyle w:val="ConsPlusNormal1"/>
        <w:widowControl/>
        <w:numPr>
          <w:ilvl w:val="0"/>
          <w:numId w:val="26"/>
        </w:numPr>
        <w:tabs>
          <w:tab w:val="clear" w:pos="709"/>
          <w:tab w:val="left" w:pos="1134" w:leader="none"/>
        </w:tabs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Сметы на ПИР предоставляются в форматах: «Excel» и «</w:t>
      </w:r>
      <w:r>
        <w:rPr>
          <w:rFonts w:cs="Times New Roman" w:ascii="Times New Roman" w:hAnsi="Times New Roman"/>
          <w:sz w:val="24"/>
          <w:szCs w:val="24"/>
          <w:lang w:val="en-US"/>
        </w:rPr>
        <w:t>pdf</w:t>
      </w:r>
      <w:r>
        <w:rPr>
          <w:rFonts w:cs="Times New Roman" w:ascii="Times New Roman" w:hAnsi="Times New Roman"/>
          <w:sz w:val="24"/>
          <w:szCs w:val="24"/>
        </w:rPr>
        <w:t>» (с подписями и печатью). Сметная документация в формате «Exce</w:t>
      </w:r>
      <w:r>
        <w:rPr>
          <w:rFonts w:cs="Times New Roman" w:ascii="Times New Roman" w:hAnsi="Times New Roman"/>
          <w:sz w:val="24"/>
          <w:szCs w:val="24"/>
          <w:lang w:val="en-US"/>
        </w:rPr>
        <w:t>l</w:t>
      </w:r>
      <w:r>
        <w:rPr>
          <w:rFonts w:cs="Times New Roman" w:ascii="Times New Roman" w:hAnsi="Times New Roman"/>
          <w:sz w:val="24"/>
          <w:szCs w:val="24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>
      <w:pPr>
        <w:pStyle w:val="ConsPlusNormal1"/>
        <w:numPr>
          <w:ilvl w:val="0"/>
          <w:numId w:val="26"/>
        </w:numPr>
        <w:tabs>
          <w:tab w:val="clear" w:pos="709"/>
          <w:tab w:val="left" w:pos="1134" w:leader="none"/>
        </w:tabs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Результаты вычислений </w:t>
      </w:r>
      <w:r>
        <w:rPr>
          <w:rFonts w:cs="Times New Roman" w:ascii="Times New Roman" w:hAnsi="Times New Roman"/>
          <w:sz w:val="24"/>
          <w:szCs w:val="24"/>
        </w:rPr>
        <w:t xml:space="preserve">(построчные) </w:t>
      </w:r>
      <w:r>
        <w:rPr>
          <w:rFonts w:ascii="Times New Roman" w:hAnsi="Times New Roman"/>
          <w:sz w:val="24"/>
          <w:szCs w:val="24"/>
        </w:rPr>
        <w:t xml:space="preserve">и итоговые данные в </w:t>
      </w:r>
      <w:r>
        <w:rPr>
          <w:rFonts w:cs="Times New Roman" w:ascii="Times New Roman" w:hAnsi="Times New Roman"/>
          <w:sz w:val="24"/>
          <w:szCs w:val="24"/>
        </w:rPr>
        <w:t>ЛСР (ЛС), приводятся в рублях,</w:t>
      </w:r>
    </w:p>
    <w:p>
      <w:pPr>
        <w:pStyle w:val="ConsPlusNormal1"/>
        <w:numPr>
          <w:ilvl w:val="0"/>
          <w:numId w:val="27"/>
        </w:numPr>
        <w:tabs>
          <w:tab w:val="clear" w:pos="709"/>
          <w:tab w:val="left" w:pos="567" w:leader="none"/>
          <w:tab w:val="left" w:pos="1134" w:leader="none"/>
        </w:tabs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базисно-индексном методе, с округлением до двух знаков после запятой (до копеек);</w:t>
      </w:r>
    </w:p>
    <w:p>
      <w:pPr>
        <w:pStyle w:val="ConsPlusNormal1"/>
        <w:numPr>
          <w:ilvl w:val="0"/>
          <w:numId w:val="27"/>
        </w:numPr>
        <w:tabs>
          <w:tab w:val="clear" w:pos="709"/>
          <w:tab w:val="left" w:pos="567" w:leader="none"/>
          <w:tab w:val="left" w:pos="1134" w:leader="none"/>
        </w:tabs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ресурсно-индексном и ресурсным методах, а также сметных расчетах на отдельные виды затрат - с округлением до целых единиц;</w:t>
      </w:r>
    </w:p>
    <w:p>
      <w:pPr>
        <w:pStyle w:val="ConsPlusNormal1"/>
        <w:numPr>
          <w:ilvl w:val="0"/>
          <w:numId w:val="27"/>
        </w:numPr>
        <w:tabs>
          <w:tab w:val="clear" w:pos="709"/>
          <w:tab w:val="left" w:pos="567" w:leader="none"/>
          <w:tab w:val="left" w:pos="1134" w:leader="none"/>
        </w:tabs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 сводной смете - в рублях с округлением до целых единиц. </w:t>
      </w:r>
    </w:p>
    <w:p>
      <w:pPr>
        <w:pStyle w:val="ConsPlusNormal1"/>
        <w:numPr>
          <w:ilvl w:val="0"/>
          <w:numId w:val="26"/>
        </w:numPr>
        <w:tabs>
          <w:tab w:val="clear" w:pos="709"/>
          <w:tab w:val="left" w:pos="1134" w:leader="none"/>
        </w:tabs>
        <w:ind w:firstLine="567" w:left="0"/>
        <w:jc w:val="both"/>
        <w:rPr>
          <w:rFonts w:ascii="Times New Roman" w:hAnsi="Times New Roman" w:eastAsia="Geneva" w:cs="" w:cstheme="minorBidi"/>
          <w:sz w:val="24"/>
          <w:szCs w:val="24"/>
          <w:lang w:eastAsia="en-US"/>
        </w:rPr>
      </w:pPr>
      <w:r>
        <w:rPr>
          <w:rFonts w:eastAsia="Geneva" w:cs="" w:ascii="Times New Roman" w:hAnsi="Times New Roman" w:cstheme="minorBidi"/>
          <w:sz w:val="24"/>
          <w:szCs w:val="24"/>
          <w:lang w:eastAsia="en-US"/>
        </w:rPr>
        <w:t xml:space="preserve">Командировочные расходы, учтенные в смете, подтверждаются отдельным расчетом. Лимиты командировочных расходов при производстве ПИР </w:t>
      </w:r>
      <w:r>
        <w:rPr>
          <w:rFonts w:cs="Times New Roman" w:ascii="Times New Roman" w:hAnsi="Times New Roman"/>
          <w:color w:val="000000"/>
          <w:sz w:val="24"/>
          <w:szCs w:val="24"/>
          <w:u w:val="single"/>
        </w:rPr>
        <w:t>не более</w:t>
      </w:r>
      <w:r>
        <w:rPr>
          <w:rFonts w:eastAsia="Geneva" w:cs="" w:ascii="Times New Roman" w:hAnsi="Times New Roman" w:cstheme="minorBidi"/>
          <w:sz w:val="24"/>
          <w:szCs w:val="24"/>
          <w:lang w:eastAsia="en-US"/>
        </w:rPr>
        <w:t>:</w:t>
      </w:r>
    </w:p>
    <w:p>
      <w:pPr>
        <w:pStyle w:val="ListParagraph"/>
        <w:tabs>
          <w:tab w:val="clear" w:pos="709"/>
          <w:tab w:val="left" w:pos="851" w:leader="none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 w:eastAsia="Geneva"/>
          <w:sz w:val="24"/>
          <w:szCs w:val="24"/>
        </w:rPr>
      </w:pPr>
      <w:r>
        <w:rPr>
          <w:rFonts w:eastAsia="Geneva" w:ascii="Times New Roman" w:hAnsi="Times New Roman"/>
          <w:sz w:val="24"/>
          <w:szCs w:val="24"/>
        </w:rPr>
        <w:t>суточные - 700 руб./сутки;</w:t>
      </w:r>
    </w:p>
    <w:p>
      <w:pPr>
        <w:pStyle w:val="ListParagraph"/>
        <w:tabs>
          <w:tab w:val="clear" w:pos="709"/>
          <w:tab w:val="left" w:pos="851" w:leader="none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 w:eastAsia="Geneva"/>
          <w:sz w:val="24"/>
          <w:szCs w:val="24"/>
        </w:rPr>
      </w:pPr>
      <w:r>
        <w:rPr>
          <w:rFonts w:eastAsia="Geneva" w:ascii="Times New Roman" w:hAnsi="Times New Roman"/>
          <w:sz w:val="24"/>
          <w:szCs w:val="24"/>
        </w:rPr>
        <w:t>проживание – 5000 руб./сутки;</w:t>
      </w:r>
    </w:p>
    <w:p>
      <w:pPr>
        <w:pStyle w:val="ListParagraph"/>
        <w:tabs>
          <w:tab w:val="clear" w:pos="709"/>
          <w:tab w:val="left" w:pos="851" w:leader="none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 w:eastAsia="Geneva"/>
          <w:sz w:val="24"/>
          <w:szCs w:val="24"/>
        </w:rPr>
      </w:pPr>
      <w:r>
        <w:rPr>
          <w:rFonts w:eastAsia="Geneva" w:ascii="Times New Roman" w:hAnsi="Times New Roman"/>
          <w:sz w:val="24"/>
          <w:szCs w:val="24"/>
        </w:rPr>
        <w:t>проезд: поезд (купе) или самолет (класс–эконом с багажом до 20 (двадцати) кг, ручная кладь до 10 (десяти) кг).</w:t>
      </w:r>
    </w:p>
    <w:p>
      <w:pPr>
        <w:pStyle w:val="Normal"/>
        <w:tabs>
          <w:tab w:val="clear" w:pos="709"/>
          <w:tab w:val="left" w:pos="1134" w:leader="none"/>
        </w:tabs>
        <w:spacing w:before="0" w:after="0"/>
        <w:ind w:firstLine="567"/>
        <w:rPr>
          <w:rFonts w:ascii="Times New Roman" w:hAnsi="Times New Roman"/>
          <w:b/>
          <w:i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b/>
          <w:i/>
          <w:color w:val="FF0000"/>
          <w:sz w:val="24"/>
          <w:szCs w:val="24"/>
        </w:rPr>
        <w:t>Данные лимиты могут быть пересмотрены на этапе согласования технических требований.</w:t>
      </w:r>
    </w:p>
    <w:p>
      <w:pPr>
        <w:pStyle w:val="ConsPlusNormal1"/>
        <w:numPr>
          <w:ilvl w:val="0"/>
          <w:numId w:val="26"/>
        </w:numPr>
        <w:tabs>
          <w:tab w:val="clear" w:pos="709"/>
          <w:tab w:val="left" w:pos="1134" w:leader="none"/>
        </w:tabs>
        <w:ind w:firstLine="567"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>
      <w:pPr>
        <w:pStyle w:val="ConsPlusNormal1"/>
        <w:numPr>
          <w:ilvl w:val="0"/>
          <w:numId w:val="26"/>
        </w:numPr>
        <w:tabs>
          <w:tab w:val="clear" w:pos="709"/>
          <w:tab w:val="left" w:pos="1134" w:leader="none"/>
        </w:tabs>
        <w:ind w:firstLine="567"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Выполнение обследований и обмерных работ на объектах, подлежащих реконструкции, расширению и техническому перевооружению рассчитывается по соответствующим Справочникам и относится в </w:t>
      </w:r>
      <w:r>
        <w:rPr>
          <w:rFonts w:ascii="Times New Roman" w:hAnsi="Times New Roman"/>
          <w:color w:val="000000"/>
          <w:sz w:val="24"/>
          <w:szCs w:val="24"/>
        </w:rPr>
        <w:t>главу 1 ССРСС.</w:t>
      </w:r>
      <w:r>
        <w:rPr>
          <w:rFonts w:ascii="Times New Roman" w:hAnsi="Times New Roman"/>
          <w:sz w:val="24"/>
          <w:szCs w:val="24"/>
        </w:rPr>
        <w:t xml:space="preserve"> Стоимость данных работ не включается в расчет стоимости проведения государственной экспертизы.</w:t>
      </w:r>
    </w:p>
    <w:p>
      <w:pPr>
        <w:sectPr>
          <w:footerReference w:type="default" r:id="rId43"/>
          <w:footerReference w:type="first" r:id="rId44"/>
          <w:footnotePr>
            <w:numFmt w:val="decimal"/>
            <w:numRestart w:val="eachSect"/>
          </w:footnotePr>
          <w:type w:val="nextPage"/>
          <w:pgSz w:w="11906" w:h="16838"/>
          <w:pgMar w:left="1304" w:right="924" w:gutter="0" w:header="0" w:top="851" w:footer="709" w:bottom="766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581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 1</w:t>
      </w:r>
    </w:p>
    <w:p>
      <w:pPr>
        <w:pStyle w:val="Normal"/>
        <w:spacing w:lineRule="auto" w:line="240" w:before="0" w:after="0"/>
        <w:ind w:left="581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проектных и изыскательских работ</w:t>
      </w:r>
    </w:p>
    <w:p>
      <w:pPr>
        <w:pStyle w:val="Normal"/>
        <w:spacing w:lineRule="auto" w:line="240" w:before="0" w:after="0"/>
        <w:ind w:left="581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ПОЯСНИТЕЛЬНАЯ ЗАПИСКА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по заполнению формы №3п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при составлении смет на ПИР.</w:t>
      </w:r>
    </w:p>
    <w:p>
      <w:pPr>
        <w:pStyle w:val="Normal"/>
        <w:spacing w:lineRule="auto" w:line="240" w:before="0" w:after="0"/>
        <w:ind w:left="581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ListParagraph"/>
        <w:numPr>
          <w:ilvl w:val="0"/>
          <w:numId w:val="24"/>
        </w:numPr>
        <w:tabs>
          <w:tab w:val="clear" w:pos="709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bookmarkStart w:id="71" w:name="RANGE!A1%3AD25"/>
      <w:bookmarkEnd w:id="71"/>
      <w:r>
        <w:rPr>
          <w:rFonts w:ascii="Times New Roman" w:hAnsi="Times New Roman"/>
          <w:color w:val="000000"/>
          <w:sz w:val="24"/>
          <w:szCs w:val="24"/>
        </w:rPr>
        <w:t>При составлении калькуляции затрат (форма №3п), разработанным организацией, выполняющей ПИР, Заказчику предоставляется обоснование расчета. Сметные расчеты составляются в ценах текущего периода.</w:t>
      </w:r>
    </w:p>
    <w:p>
      <w:pPr>
        <w:pStyle w:val="ListParagraph"/>
        <w:numPr>
          <w:ilvl w:val="0"/>
          <w:numId w:val="24"/>
        </w:numPr>
        <w:tabs>
          <w:tab w:val="clear" w:pos="709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Калькуляцией затрат (форма №3п) рекомендуется определять стоимость работ, цены на которые отсутствуют в МНЗ и СБЦ, внесенных в ФРСН.</w:t>
      </w:r>
    </w:p>
    <w:p>
      <w:pPr>
        <w:pStyle w:val="ListParagraph"/>
        <w:numPr>
          <w:ilvl w:val="0"/>
          <w:numId w:val="24"/>
        </w:numPr>
        <w:tabs>
          <w:tab w:val="clear" w:pos="709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Стоимость работ и расходов в соответствии с калькуляцией затрат определяется согласно положениям Методики №707 с учетом следующего:</w:t>
      </w:r>
    </w:p>
    <w:p>
      <w:pPr>
        <w:pStyle w:val="ConsPlusNormal1"/>
        <w:numPr>
          <w:ilvl w:val="1"/>
          <w:numId w:val="24"/>
        </w:numPr>
        <w:tabs>
          <w:tab w:val="clear" w:pos="709"/>
          <w:tab w:val="left" w:pos="1134" w:leader="none"/>
        </w:tabs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Стоимость проектных работ и расходов (</w:t>
      </w: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Спр</m:t>
        </m:r>
      </m:oMath>
      <w:r>
        <w:rPr>
          <w:rFonts w:cs="Times New Roman" w:ascii="Times New Roman" w:hAnsi="Times New Roman"/>
          <w:sz w:val="24"/>
          <w:szCs w:val="24"/>
        </w:rPr>
        <w:t>) в соответствии с калькуляцией затрат определяется по формуле:</w:t>
      </w:r>
    </w:p>
    <w:p>
      <w:pPr>
        <w:pStyle w:val="ConsPlusNormal1"/>
        <w:tabs>
          <w:tab w:val="clear" w:pos="709"/>
          <w:tab w:val="left" w:pos="0" w:leader="none"/>
          <w:tab w:val="left" w:pos="1134" w:leader="none"/>
        </w:tabs>
        <w:ind w:hanging="0"/>
        <w:jc w:val="center"/>
        <w:rPr>
          <w:rFonts w:ascii="Times New Roman" w:hAnsi="Times New Roman" w:cs="Times New Roman"/>
          <w:i/>
          <w:i/>
          <w:sz w:val="24"/>
          <w:szCs w:val="24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sSub>
            <m:e>
              <m:r>
                <w:rPr>
                  <w:rFonts w:ascii="Cambria Math" w:hAnsi="Cambria Math"/>
                </w:rPr>
                <m:t xml:space="preserve">С</m:t>
              </m:r>
            </m:e>
            <m:sub>
              <m:r>
                <w:rPr>
                  <w:rFonts w:ascii="Cambria Math" w:hAnsi="Cambria Math"/>
                </w:rPr>
                <m:t xml:space="preserve">пр</m:t>
              </m:r>
            </m:sub>
          </m:sSub>
          <m:r>
            <w:rPr>
              <w:rFonts w:ascii="Cambria Math" w:hAnsi="Cambria Math"/>
            </w:rPr>
            <m:t xml:space="preserve">=</m:t>
          </m:r>
          <m:sSub>
            <m:e>
              <m:r>
                <w:rPr>
                  <w:rFonts w:ascii="Cambria Math" w:hAnsi="Cambria Math"/>
                </w:rPr>
                <m:t xml:space="preserve">В</m:t>
              </m:r>
            </m:e>
            <m:sub>
              <m:r>
                <w:rPr>
                  <w:rFonts w:ascii="Cambria Math" w:hAnsi="Cambria Math"/>
                </w:rPr>
                <m:t xml:space="preserve">ср</m:t>
              </m:r>
            </m:sub>
          </m:sSub>
          <m:r>
            <w:rPr>
              <w:rFonts w:ascii="Cambria Math" w:hAnsi="Cambria Math"/>
            </w:rPr>
            <m:t xml:space="preserve">×</m:t>
          </m:r>
          <m:sSub>
            <m:e>
              <m:r>
                <w:rPr>
                  <w:rFonts w:ascii="Cambria Math" w:hAnsi="Cambria Math"/>
                </w:rPr>
                <m:t xml:space="preserve">Т</m:t>
              </m:r>
            </m:e>
            <m:sub>
              <m:r>
                <w:rPr>
                  <w:rFonts w:ascii="Cambria Math" w:hAnsi="Cambria Math"/>
                </w:rPr>
                <m:t xml:space="preserve">п</m:t>
              </m:r>
            </m:sub>
          </m:sSub>
          <m:r>
            <w:rPr>
              <w:rFonts w:ascii="Cambria Math" w:hAnsi="Cambria Math"/>
            </w:rPr>
            <m:t xml:space="preserve">×</m:t>
          </m:r>
          <m:sSub>
            <m:e>
              <m:r>
                <w:rPr>
                  <w:rFonts w:ascii="Cambria Math" w:hAnsi="Cambria Math"/>
                </w:rPr>
                <m:t xml:space="preserve">Ч</m:t>
              </m:r>
            </m:e>
            <m:sub>
              <m:r>
                <w:rPr>
                  <w:rFonts w:ascii="Cambria Math" w:hAnsi="Cambria Math"/>
                </w:rPr>
                <m:t xml:space="preserve">общ</m:t>
              </m:r>
            </m:sub>
          </m:sSub>
          <m:r>
            <w:rPr>
              <w:rFonts w:ascii="Cambria Math" w:hAnsi="Cambria Math"/>
            </w:rPr>
            <m:t xml:space="preserve">×</m:t>
          </m:r>
          <m:sSub>
            <m:e>
              <m:r>
                <w:rPr>
                  <w:rFonts w:ascii="Cambria Math" w:hAnsi="Cambria Math"/>
                </w:rPr>
                <m:t xml:space="preserve">К</m:t>
              </m:r>
            </m:e>
            <m:sub>
              <m:r>
                <w:rPr>
                  <w:rFonts w:ascii="Cambria Math" w:hAnsi="Cambria Math"/>
                </w:rPr>
                <m:t xml:space="preserve">кв</m:t>
              </m:r>
              <m:r>
                <w:rPr>
                  <w:rFonts w:ascii="Cambria Math" w:hAnsi="Cambria Math"/>
                </w:rPr>
                <m:t xml:space="preserve">−</m:t>
              </m:r>
              <m:r>
                <w:rPr>
                  <w:rFonts w:ascii="Cambria Math" w:hAnsi="Cambria Math"/>
                </w:rPr>
                <m:t xml:space="preserve">уч</m:t>
              </m:r>
            </m:sub>
          </m:sSub>
        </m:oMath>
      </m:oMathPara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где: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Спр</m:t>
        </m:r>
      </m:oMath>
      <w:r>
        <w:rPr>
          <w:rFonts w:cs="Times New Roman" w:ascii="Times New Roman" w:hAnsi="Times New Roman"/>
          <w:sz w:val="24"/>
          <w:szCs w:val="24"/>
          <w:vertAlign w:val="subscript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стоимость проектных работ, определенная в соответствии с калькуляцией затрат, рублей;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Вср</m:t>
        </m:r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среднедневная выработка одного непосредственного исполнителя, рублей;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Тп</m:t>
        </m:r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плановая продолжительность выполнения проектных работ, предусмотренных калькуляцией затрат, дни;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Чобщ</m:t>
        </m:r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общая численность непосредственных исполнителей-проектировщиков, занятых в выполнении проектных работ, предусмотренных калькуляцией затрат, чел.;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Ккв-уч</m:t>
        </m:r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корректирующий коэффициент, учитывающий степень участия исполнителей различной квалификации в выполнении проектных работ, предусмотренных калькуляцией затрат (далее - коэффициент квалификации-участия);</w:t>
      </w:r>
    </w:p>
    <w:p>
      <w:pPr>
        <w:pStyle w:val="ConsPlusNormal1"/>
        <w:numPr>
          <w:ilvl w:val="1"/>
          <w:numId w:val="24"/>
        </w:numPr>
        <w:tabs>
          <w:tab w:val="clear" w:pos="709"/>
          <w:tab w:val="left" w:pos="1134" w:leader="none"/>
        </w:tabs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среднедневная выработка (</w:t>
      </w: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В</m:t>
        </m:r>
        <m:r>
          <m:rPr>
            <m:lit/>
            <m:nor/>
          </m:rPr>
          <w:rPr>
            <w:rFonts w:ascii="Cambria Math" w:hAnsi="Cambria Math"/>
          </w:rPr>
          <m:t xml:space="preserve">ср</m:t>
        </m:r>
      </m:oMath>
      <w:r>
        <w:rPr>
          <w:rFonts w:cs="Times New Roman" w:ascii="Times New Roman" w:hAnsi="Times New Roman"/>
          <w:sz w:val="24"/>
          <w:szCs w:val="24"/>
        </w:rPr>
        <w:t>) определяется по формуле:</w:t>
      </w:r>
    </w:p>
    <w:p>
      <w:pPr>
        <w:pStyle w:val="ConsPlusNormal1"/>
        <w:tabs>
          <w:tab w:val="clear" w:pos="709"/>
          <w:tab w:val="left" w:pos="1134" w:leader="none"/>
        </w:tabs>
        <w:ind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tabs>
          <w:tab w:val="clear" w:pos="709"/>
          <w:tab w:val="left" w:pos="0" w:leader="none"/>
          <w:tab w:val="left" w:pos="1134" w:leader="none"/>
        </w:tabs>
        <w:ind w:hanging="0"/>
        <w:jc w:val="center"/>
        <w:rPr>
          <w:rFonts w:ascii="Times New Roman" w:hAnsi="Times New Roman" w:cs="Times New Roman"/>
          <w:sz w:val="24"/>
          <w:szCs w:val="24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sSub>
            <m:e>
              <m:r>
                <w:rPr>
                  <w:rFonts w:ascii="Cambria Math" w:hAnsi="Cambria Math"/>
                </w:rPr>
                <m:t xml:space="preserve">В</m:t>
              </m:r>
            </m:e>
            <m:sub>
              <m:r>
                <w:rPr>
                  <w:rFonts w:ascii="Cambria Math" w:hAnsi="Cambria Math"/>
                </w:rPr>
                <m:t xml:space="preserve">ср</m:t>
              </m:r>
            </m:sub>
          </m:sSub>
          <m:r>
            <w:rPr>
              <w:rFonts w:ascii="Cambria Math" w:hAnsi="Cambria Math"/>
            </w:rPr>
            <m:t xml:space="preserve">=</m:t>
          </m:r>
          <m:f>
            <m:num>
              <m:sSub>
                <m:e>
                  <m:r>
                    <w:rPr>
                      <w:rFonts w:ascii="Cambria Math" w:hAnsi="Cambria Math"/>
                    </w:rPr>
                    <m:t xml:space="preserve">ЗП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ср</m:t>
                  </m:r>
                </m:sub>
              </m:sSub>
              <m:r>
                <w:rPr>
                  <w:rFonts w:ascii="Cambria Math" w:hAnsi="Cambria Math"/>
                </w:rPr>
                <m:t xml:space="preserve">×</m:t>
              </m:r>
              <m:d>
                <m:dPr>
                  <m:begChr m:val="("/>
                  <m:endChr m:val=")"/>
                </m:dPr>
                <m:e>
                  <m:r>
                    <w:rPr>
                      <w:rFonts w:ascii="Cambria Math" w:hAnsi="Cambria Math"/>
                    </w:rPr>
                    <m:t xml:space="preserve">1</m:t>
                  </m:r>
                  <m:r>
                    <w:rPr>
                      <w:rFonts w:ascii="Cambria Math" w:hAnsi="Cambria Math"/>
                    </w:rPr>
                    <m:t xml:space="preserve">+</m:t>
                  </m:r>
                  <m:r>
                    <w:rPr>
                      <w:rFonts w:ascii="Cambria Math" w:hAnsi="Cambria Math"/>
                    </w:rPr>
                    <m:t xml:space="preserve">Р</m:t>
                  </m:r>
                </m:e>
              </m:d>
            </m:num>
            <m:den>
              <m:sSub>
                <m:e>
                  <m:r>
                    <w:rPr>
                      <w:rFonts w:ascii="Cambria Math" w:hAnsi="Cambria Math"/>
                    </w:rPr>
                    <m:t xml:space="preserve">К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з</m:t>
                  </m:r>
                </m:sub>
              </m:sSub>
            </m:den>
          </m:f>
        </m:oMath>
      </m:oMathPara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где: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Р</m:t>
        </m:r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- коэффициент уровня рентабельности (сметной прибыли), принимается Р = 0,1 (1%) согласно </w:t>
      </w:r>
      <w:hyperlink w:anchor="P1643">
        <w:r>
          <w:rPr>
            <w:rStyle w:val="Hyperlink"/>
            <w:rFonts w:cs="Times New Roman" w:ascii="Times New Roman" w:hAnsi="Times New Roman"/>
            <w:sz w:val="24"/>
            <w:szCs w:val="24"/>
          </w:rPr>
          <w:t>таблице 1.2</w:t>
        </w:r>
      </w:hyperlink>
      <w:r>
        <w:rPr>
          <w:rFonts w:cs="Times New Roman" w:ascii="Times New Roman" w:hAnsi="Times New Roman"/>
          <w:sz w:val="24"/>
          <w:szCs w:val="24"/>
        </w:rPr>
        <w:t>, приведенной в приложении N 2 к Методике №707;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ЗП</m:t>
        </m:r>
        <m:r>
          <m:rPr>
            <m:lit/>
            <m:nor/>
          </m:rPr>
          <w:rPr>
            <w:rFonts w:ascii="Cambria Math" w:hAnsi="Cambria Math"/>
          </w:rPr>
          <m:t xml:space="preserve">ср</m:t>
        </m:r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среднедневная заработная плата, тыс. руб. Принимается по данным Росстата о среднемесячной номинальной начисленной заработной плате работающих в экономике, по видам экономической деятельности в Российской Федерации для деятельности в области архитектуры (</w:t>
      </w:r>
      <w:hyperlink r:id="rId45">
        <w:r>
          <w:rPr>
            <w:rStyle w:val="Hyperlink"/>
            <w:rFonts w:cs="Times New Roman" w:ascii="Times New Roman" w:hAnsi="Times New Roman"/>
            <w:sz w:val="24"/>
            <w:szCs w:val="24"/>
          </w:rPr>
          <w:t>код 71.11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согласно ОК 029-2014 (КДЕС ред. 2) "Общероссийский классификатор видов экономической деятельности" (далее - Общероссийский классификатор) за год, предшествующий году определения сметной стоимости объекта проектирования (среднее значение за период январь - декабрь), исходя из усредненного на основании производственного календаря количества рабочих дней в месяце для года, предшествующего году определения сметной стоимости проектных работ и с учетом </w:t>
      </w:r>
      <w:r>
        <w:rPr>
          <w:rFonts w:cs="Times New Roman" w:ascii="Times New Roman" w:hAnsi="Times New Roman"/>
          <w:sz w:val="24"/>
          <w:szCs w:val="24"/>
          <w:highlight w:val="green"/>
        </w:rPr>
        <w:t>Классификатора объектов административно-территориального деления (ОКАТО) Проектной организации</w:t>
      </w:r>
      <w:r>
        <w:rPr>
          <w:rFonts w:cs="Times New Roman" w:ascii="Times New Roman" w:hAnsi="Times New Roman"/>
          <w:sz w:val="24"/>
          <w:szCs w:val="24"/>
        </w:rPr>
        <w:t xml:space="preserve">. Для работ по проектированию объектов, являющихся особо опасными, технически сложными, уникальными объектами согласно </w:t>
      </w:r>
      <w:hyperlink r:id="rId46">
        <w:r>
          <w:rPr>
            <w:rStyle w:val="Hyperlink"/>
            <w:rFonts w:cs="Times New Roman" w:ascii="Times New Roman" w:hAnsi="Times New Roman"/>
            <w:sz w:val="24"/>
            <w:szCs w:val="24"/>
          </w:rPr>
          <w:t>статье 48.1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Градостроительного кодекса Российской Федерации, а также для работ по подготовке проектной документации, содержащей материалы в форме информационной модели, среднемесячная заработная плата принимается для деятельности в области инженерно-технического проектирования (</w:t>
      </w:r>
      <w:hyperlink r:id="rId47">
        <w:r>
          <w:rPr>
            <w:rStyle w:val="Hyperlink"/>
            <w:rFonts w:cs="Times New Roman" w:ascii="Times New Roman" w:hAnsi="Times New Roman"/>
            <w:sz w:val="24"/>
            <w:szCs w:val="24"/>
          </w:rPr>
          <w:t>код 71.12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согласно ОК 029-2014 (КДЕС ред. 2) Общероссийского классификатора)</w:t>
      </w:r>
      <w:r>
        <w:rPr>
          <w:rStyle w:val="FootnoteReference"/>
          <w:rFonts w:cs="Times New Roman" w:ascii="Times New Roman" w:hAnsi="Times New Roman"/>
          <w:sz w:val="24"/>
          <w:szCs w:val="24"/>
        </w:rPr>
        <w:footnoteReference w:id="12"/>
      </w:r>
      <w:r>
        <w:rPr>
          <w:rFonts w:cs="Times New Roman" w:ascii="Times New Roman" w:hAnsi="Times New Roman"/>
          <w:sz w:val="24"/>
          <w:szCs w:val="24"/>
        </w:rPr>
        <w:t>;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К</m:t>
        </m:r>
        <m:r>
          <w:rPr>
            <w:rFonts w:ascii="Cambria Math" w:hAnsi="Cambria Math"/>
          </w:rPr>
          <m:t xml:space="preserve">з</m:t>
        </m:r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коэффициент, учитывающий долю оплаты труда производственного персонала в себестоимости проектных работ: К3 принимается в размере 40,06%;</w:t>
      </w:r>
    </w:p>
    <w:p>
      <w:pPr>
        <w:pStyle w:val="ConsPlusNormal1"/>
        <w:numPr>
          <w:ilvl w:val="1"/>
          <w:numId w:val="24"/>
        </w:numPr>
        <w:tabs>
          <w:tab w:val="clear" w:pos="709"/>
          <w:tab w:val="left" w:pos="1134" w:leader="none"/>
        </w:tabs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коэффициент, квалификации-участия (</w:t>
      </w: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К</m:t>
            </m:r>
          </m:e>
          <m:sub>
            <m:r>
              <w:rPr>
                <w:rFonts w:ascii="Cambria Math" w:hAnsi="Cambria Math"/>
              </w:rPr>
              <m:t xml:space="preserve">кв</m:t>
            </m:r>
            <m:r>
              <w:rPr>
                <w:rFonts w:ascii="Cambria Math" w:hAnsi="Cambria Math"/>
              </w:rPr>
              <m:t xml:space="preserve">−</m:t>
            </m:r>
            <m:r>
              <w:rPr>
                <w:rFonts w:ascii="Cambria Math" w:hAnsi="Cambria Math"/>
              </w:rPr>
              <m:t xml:space="preserve">уч</m:t>
            </m:r>
          </m:sub>
        </m:sSub>
      </m:oMath>
      <w:r>
        <w:rPr>
          <w:rFonts w:cs="Times New Roman" w:ascii="Times New Roman" w:hAnsi="Times New Roman"/>
          <w:sz w:val="24"/>
          <w:szCs w:val="24"/>
        </w:rPr>
        <w:t>), определяется по формуле:</w:t>
      </w:r>
    </w:p>
    <w:p>
      <w:pPr>
        <w:pStyle w:val="ConsPlusNormal1"/>
        <w:tabs>
          <w:tab w:val="clear" w:pos="709"/>
          <w:tab w:val="left" w:pos="1134" w:leader="none"/>
        </w:tabs>
        <w:ind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tabs>
          <w:tab w:val="clear" w:pos="709"/>
          <w:tab w:val="left" w:pos="1134" w:leader="none"/>
        </w:tabs>
        <w:ind w:hanging="0"/>
        <w:jc w:val="center"/>
        <w:rPr>
          <w:rFonts w:ascii="Times New Roman" w:hAnsi="Times New Roman" w:cs="Times New Roman"/>
          <w:sz w:val="24"/>
          <w:szCs w:val="24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sSub>
            <m:e>
              <m:r>
                <w:rPr>
                  <w:rFonts w:ascii="Cambria Math" w:hAnsi="Cambria Math"/>
                </w:rPr>
                <m:t xml:space="preserve">К</m:t>
              </m:r>
            </m:e>
            <m:sub>
              <m:r>
                <w:rPr>
                  <w:rFonts w:ascii="Cambria Math" w:hAnsi="Cambria Math"/>
                </w:rPr>
                <m:t xml:space="preserve">кв</m:t>
              </m:r>
              <m:r>
                <w:rPr>
                  <w:rFonts w:ascii="Cambria Math" w:hAnsi="Cambria Math"/>
                </w:rPr>
                <m:t xml:space="preserve">−</m:t>
              </m:r>
              <m:r>
                <w:rPr>
                  <w:rFonts w:ascii="Cambria Math" w:hAnsi="Cambria Math"/>
                </w:rPr>
                <m:t xml:space="preserve">уч</m:t>
              </m:r>
            </m:sub>
          </m:sSub>
          <m:r>
            <w:rPr>
              <w:rFonts w:ascii="Cambria Math" w:hAnsi="Cambria Math"/>
            </w:rPr>
            <m:t xml:space="preserve">=</m:t>
          </m:r>
          <m:f>
            <m:num>
              <m:nary>
                <m:naryPr>
                  <m:chr m:val="∑"/>
                </m:naryPr>
                <m:sub>
                  <m:r>
                    <w:rPr>
                      <w:rFonts w:ascii="Cambria Math" w:hAnsi="Cambria Math"/>
                    </w:rPr>
                    <m:t xml:space="preserve">i</m:t>
                  </m:r>
                  <m:r>
                    <w:rPr>
                      <w:rFonts w:ascii="Cambria Math" w:hAnsi="Cambria Math"/>
                    </w:rPr>
                    <m:t xml:space="preserve">=</m:t>
                  </m:r>
                  <m:r>
                    <w:rPr>
                      <w:rFonts w:ascii="Cambria Math" w:hAnsi="Cambria Math"/>
                    </w:rPr>
                    <m:t xml:space="preserve">1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n</m:t>
                  </m:r>
                </m:sup>
                <m:e>
                  <m:f>
                    <m:num>
                      <m:sSub>
                        <m:e>
                          <m:r>
                            <w:rPr>
                              <w:rFonts w:ascii="Cambria Math" w:hAnsi="Cambria Math"/>
                            </w:rPr>
                            <m:t xml:space="preserve"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 xml:space="preserve">ф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i</m:t>
                          </m:r>
                        </m:sub>
                      </m:sSub>
                    </m:num>
                    <m:den>
                      <m:sSub>
                        <m:e>
                          <m:r>
                            <w:rPr>
                              <w:rFonts w:ascii="Cambria Math" w:hAnsi="Cambria Math"/>
                            </w:rPr>
                            <m:t xml:space="preserve">Т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 xml:space="preserve">общ</m:t>
                          </m:r>
                        </m:sub>
                      </m:sSub>
                    </m:den>
                  </m:f>
                </m:e>
              </m:nary>
              <m:r>
                <w:rPr>
                  <w:rFonts w:ascii="Cambria Math" w:hAnsi="Cambria Math"/>
                </w:rPr>
                <m:t xml:space="preserve">×</m:t>
              </m:r>
              <m:sSub>
                <m:e>
                  <m:r>
                    <w:rPr>
                      <w:rFonts w:ascii="Cambria Math" w:hAnsi="Cambria Math"/>
                    </w:rPr>
                    <m:t xml:space="preserve">Ч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i</m:t>
                  </m:r>
                </m:sub>
              </m:sSub>
              <m:r>
                <w:rPr>
                  <w:rFonts w:ascii="Cambria Math" w:hAnsi="Cambria Math"/>
                </w:rPr>
                <m:t xml:space="preserve">×</m:t>
              </m:r>
              <m:sSub>
                <m:e>
                  <m:r>
                    <w:rPr>
                      <w:rFonts w:ascii="Cambria Math" w:hAnsi="Cambria Math"/>
                    </w:rPr>
                    <m:t xml:space="preserve">И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i</m:t>
                  </m:r>
                </m:sub>
              </m:sSub>
            </m:num>
            <m:den>
              <m:sSub>
                <m:e>
                  <m:r>
                    <w:rPr>
                      <w:rFonts w:ascii="Cambria Math" w:hAnsi="Cambria Math"/>
                    </w:rPr>
                    <m:t xml:space="preserve">Ч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общ</m:t>
                  </m:r>
                </m:sub>
              </m:sSub>
            </m:den>
          </m:f>
        </m:oMath>
      </m:oMathPara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где: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И</m:t>
            </m:r>
          </m:e>
          <m:sub>
            <m:r>
              <w:rPr>
                <w:rFonts w:ascii="Cambria Math" w:hAnsi="Cambria Math"/>
              </w:rPr>
              <m:t xml:space="preserve">i</m:t>
            </m:r>
          </m:sub>
        </m:sSub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- индекс квалификации непосредственных исполнителей согласно </w:t>
      </w:r>
      <w:hyperlink w:anchor="P1654">
        <w:r>
          <w:rPr>
            <w:rStyle w:val="Hyperlink"/>
            <w:rFonts w:cs="Times New Roman" w:ascii="Times New Roman" w:hAnsi="Times New Roman"/>
            <w:sz w:val="24"/>
            <w:szCs w:val="24"/>
          </w:rPr>
          <w:t>таблицам 1.3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- </w:t>
      </w:r>
      <w:hyperlink w:anchor="P1701">
        <w:r>
          <w:rPr>
            <w:rStyle w:val="Hyperlink"/>
            <w:rFonts w:cs="Times New Roman" w:ascii="Times New Roman" w:hAnsi="Times New Roman"/>
            <w:sz w:val="24"/>
            <w:szCs w:val="24"/>
          </w:rPr>
          <w:t>1.4</w:t>
        </w:r>
      </w:hyperlink>
      <w:r>
        <w:rPr>
          <w:rFonts w:cs="Times New Roman" w:ascii="Times New Roman" w:hAnsi="Times New Roman"/>
          <w:sz w:val="24"/>
          <w:szCs w:val="24"/>
        </w:rPr>
        <w:t xml:space="preserve">, приведенным в приложении N 2 к Методике №707. Для отдельных отраслей индексы, приведенные в </w:t>
      </w:r>
      <w:hyperlink w:anchor="P1654">
        <w:r>
          <w:rPr>
            <w:rStyle w:val="Hyperlink"/>
            <w:rFonts w:cs="Times New Roman" w:ascii="Times New Roman" w:hAnsi="Times New Roman"/>
            <w:sz w:val="24"/>
            <w:szCs w:val="24"/>
          </w:rPr>
          <w:t>таблицах 1.3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- </w:t>
      </w:r>
      <w:hyperlink w:anchor="P1701">
        <w:r>
          <w:rPr>
            <w:rStyle w:val="Hyperlink"/>
            <w:rFonts w:cs="Times New Roman" w:ascii="Times New Roman" w:hAnsi="Times New Roman"/>
            <w:sz w:val="24"/>
            <w:szCs w:val="24"/>
          </w:rPr>
          <w:t>1.4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приложения N 2 к Методике №707, подлежат уточнению при предоставлении соответствующих обоснований (бухгалтерских справок и аналогичных документов), документально подтвержденных уполномоченными лицами проектной организации;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Ч</m:t>
            </m:r>
          </m:e>
          <m:sub>
            <m:r>
              <w:rPr>
                <w:rFonts w:ascii="Cambria Math" w:hAnsi="Cambria Math"/>
              </w:rPr>
              <m:t xml:space="preserve">i</m:t>
            </m:r>
          </m:sub>
        </m:sSub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численность исполнителей одинаковой квалификации, чел.;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T</m:t>
            </m:r>
          </m:e>
          <m:sub>
            <m:r>
              <w:rPr>
                <w:rFonts w:ascii="Cambria Math" w:hAnsi="Cambria Math"/>
              </w:rPr>
              <m:t xml:space="preserve">ф</m:t>
            </m:r>
            <m:r>
              <w:rPr>
                <w:rFonts w:ascii="Cambria Math" w:hAnsi="Cambria Math"/>
              </w:rPr>
              <m:t xml:space="preserve">i</m:t>
            </m:r>
          </m:sub>
        </m:sSub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фактическое время работы исполнителей одинаковой квалификации, дни.</w:t>
      </w:r>
    </w:p>
    <w:p>
      <w:pPr>
        <w:pStyle w:val="ConsPlusNormal1"/>
        <w:tabs>
          <w:tab w:val="clear" w:pos="709"/>
          <w:tab w:val="left" w:pos="1134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Численность и должностные категории (квалификация) исполнителей, фактическое время работы исполнителей одинаковой квалификации определяются на основании положений документов по стандартизации согласно </w:t>
      </w:r>
      <w:hyperlink r:id="rId48">
        <w:r>
          <w:rPr>
            <w:rStyle w:val="Hyperlink"/>
            <w:rFonts w:cs="Times New Roman" w:ascii="Times New Roman" w:hAnsi="Times New Roman"/>
            <w:sz w:val="24"/>
            <w:szCs w:val="24"/>
          </w:rPr>
          <w:t>статье 14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Федерального закона от 29 июня 2015 г. N 162-ФЗ "О стандартизации в Российской Федерации" (Собрание законодательства Российской Федерации, 2015, N 27, ст. 3953; 2021, N 1, ст. 62), стандартов процесса подготовки проектной документации согласно </w:t>
      </w:r>
      <w:hyperlink r:id="rId49">
        <w:r>
          <w:rPr>
            <w:rStyle w:val="Hyperlink"/>
            <w:rFonts w:cs="Times New Roman" w:ascii="Times New Roman" w:hAnsi="Times New Roman"/>
            <w:sz w:val="24"/>
            <w:szCs w:val="24"/>
          </w:rPr>
          <w:t>пункту 10 части 8 статьи 55.20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Градостроительного кодекса Российской Федерации (Собрание законодательства Российской Федерации, 2005, N 1, ст. 16; 2018, N 32, ст. 5133), норм проектирования, данных о трудоемкости объектов-аналогов, результатов опроса, проведенного среди не менее трех проектных организаций, специализирующихся на выполнение проектных работ, на которые подготавливается смета, таблиц технологического процесса выполнения проектных работ по объекту, продолжительности выполняемых работ, указанных в календарном плане к договору на выполнение проектных работ, данных о времени и количестве исполнителей определенной квалификации, принимающих участие в выполнении проектных работ, которые должны быть подписаны руководителем проектной организации, предоставляющей такие данные, и заверены ее печатью;</w:t>
      </w:r>
    </w:p>
    <w:p>
      <w:pPr>
        <w:pStyle w:val="ConsPlusNormal1"/>
        <w:tabs>
          <w:tab w:val="clear" w:pos="709"/>
          <w:tab w:val="left" w:pos="1134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highlight w:val="green"/>
        </w:rPr>
        <w:t>Для пересчета стоимости работ в текущий уровень цен применяются соответствующие индексы изменения сметной стоимости, выпущенные письмом Минстроя России, актуальным на момент составления сметной документации, с учетом периода выполнения работ.</w:t>
      </w:r>
    </w:p>
    <w:p>
      <w:pPr>
        <w:pStyle w:val="ConsPlusNormal1"/>
        <w:tabs>
          <w:tab w:val="clear" w:pos="709"/>
          <w:tab w:val="left" w:pos="1134" w:leader="none"/>
        </w:tabs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  <w:highlight w:val="green"/>
        </w:rPr>
        <w:t>Например, в 1 квартале 2025 года, стоимость проектных работ рассчитывается по калькуляции затрат в уровне цен по состоянию на 31.12.2024 и включается в смету на проектные работы с последующим применением соответствующих индексов изменения сметной стоимости на 1 квартал 2025 года к уровню цен по состоянию на 01.01.2025, сообщаемых письмом Минстроя России от 01.02.2025г. №5170-ИФ/09.</w:t>
      </w:r>
      <w:r>
        <w:rPr>
          <w:rFonts w:cs="Times New Roman" w:ascii="Times New Roman" w:hAnsi="Times New Roman"/>
          <w:i/>
          <w:sz w:val="24"/>
          <w:szCs w:val="24"/>
        </w:rPr>
        <w:t xml:space="preserve"> </w:t>
      </w:r>
    </w:p>
    <w:p>
      <w:pPr>
        <w:pStyle w:val="ListParagraph"/>
        <w:numPr>
          <w:ilvl w:val="1"/>
          <w:numId w:val="32"/>
        </w:numPr>
        <w:tabs>
          <w:tab w:val="clear" w:pos="709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Общий срок проектирования объекта в месяцах не должен превышать нормативные сроки установленные положениями Приказа Минстроя РФ от 15.05.2020г. № 264/пр «Об установлении срока, необходимого для выполнения инженерных изысканий, осуществления архитектурно-строительного проектирования и строительства зданий, сооружений, в целях расчета срока договора аренды земельного участка, находящегося в государственной или муниципальной собственности» которые устанавливают зависимость срока проектирования объекта в месяцах от его общей площади. </w:t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объектов, сроки проектирования которых невозможно определить в соответствии с указанным Приказом, допустимо применение иных документов, не противоречащих действующему законодательству.</w:t>
      </w:r>
    </w:p>
    <w:p>
      <w:pPr>
        <w:pStyle w:val="ListParagraph"/>
        <w:numPr>
          <w:ilvl w:val="1"/>
          <w:numId w:val="32"/>
        </w:numPr>
        <w:tabs>
          <w:tab w:val="clear" w:pos="709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стоимость проектных работ, определяемых в соответствии с калькуляцией затрат, не учитывает командировочные расходы, непосредственно связанные с проектированием объекта, определяемые дополнительно.</w:t>
      </w:r>
    </w:p>
    <w:p>
      <w:pPr>
        <w:pStyle w:val="ListParagraph"/>
        <w:numPr>
          <w:ilvl w:val="0"/>
          <w:numId w:val="24"/>
        </w:numPr>
        <w:tabs>
          <w:tab w:val="clear" w:pos="709"/>
          <w:tab w:val="left" w:pos="993" w:leader="none"/>
        </w:tabs>
        <w:spacing w:before="0" w:after="0"/>
        <w:ind w:firstLine="567" w:left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Для обоснования командировочных расходов предоставляется отдельно выполненный расчет (форма 4п)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>
      <w:pPr>
        <w:pStyle w:val="Normal"/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>
      <w:pPr>
        <w:pStyle w:val="ConsPlusNormal1"/>
        <w:tabs>
          <w:tab w:val="clear" w:pos="709"/>
          <w:tab w:val="left" w:pos="284" w:leader="none"/>
          <w:tab w:val="left" w:pos="1134" w:leader="none"/>
        </w:tabs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Лимиты командировочных расходов при производстве ПИР не более:</w:t>
      </w:r>
    </w:p>
    <w:p>
      <w:pPr>
        <w:pStyle w:val="ListParagraph"/>
        <w:numPr>
          <w:ilvl w:val="0"/>
          <w:numId w:val="17"/>
        </w:numPr>
        <w:tabs>
          <w:tab w:val="clear" w:pos="709"/>
          <w:tab w:val="left" w:pos="851" w:leader="none"/>
          <w:tab w:val="left" w:pos="1080" w:leader="none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суточные - 700 руб./сутки;</w:t>
      </w:r>
    </w:p>
    <w:p>
      <w:pPr>
        <w:pStyle w:val="ListParagraph"/>
        <w:numPr>
          <w:ilvl w:val="0"/>
          <w:numId w:val="17"/>
        </w:numPr>
        <w:tabs>
          <w:tab w:val="clear" w:pos="709"/>
          <w:tab w:val="left" w:pos="851" w:leader="none"/>
          <w:tab w:val="left" w:pos="1080" w:leader="none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проживание – 5000 руб./сутки;</w:t>
      </w:r>
    </w:p>
    <w:p>
      <w:pPr>
        <w:pStyle w:val="ListParagraph"/>
        <w:numPr>
          <w:ilvl w:val="0"/>
          <w:numId w:val="17"/>
        </w:numPr>
        <w:tabs>
          <w:tab w:val="clear" w:pos="709"/>
          <w:tab w:val="left" w:pos="851" w:leader="none"/>
          <w:tab w:val="left" w:pos="1080" w:leader="none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проезд: поезд (купе) или самолет (класс–эконом с багажом до 20 (двадцати) кг, ручная кладь до 10 (десяти) кг).</w:t>
      </w:r>
    </w:p>
    <w:p>
      <w:pPr>
        <w:pStyle w:val="ListParagraph"/>
        <w:tabs>
          <w:tab w:val="clear" w:pos="709"/>
          <w:tab w:val="left" w:pos="1134" w:leader="none"/>
        </w:tabs>
        <w:suppressAutoHyphens w:val="true"/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b/>
          <w:i/>
          <w:i/>
          <w:color w:val="FF0000"/>
          <w:sz w:val="24"/>
          <w:szCs w:val="24"/>
        </w:rPr>
      </w:pPr>
      <w:r>
        <w:rPr>
          <w:rFonts w:ascii="Times New Roman" w:hAnsi="Times New Roman"/>
          <w:b/>
          <w:i/>
          <w:color w:val="FF0000"/>
          <w:sz w:val="24"/>
          <w:szCs w:val="24"/>
        </w:rPr>
        <w:t>Данные лимиты могут быть пересмотрены на этапе согласования технических требований</w:t>
      </w:r>
      <w:r>
        <w:rPr>
          <w:rFonts w:ascii="Times New Roman" w:hAnsi="Times New Roman"/>
          <w:color w:val="FF0000"/>
          <w:sz w:val="24"/>
          <w:szCs w:val="24"/>
        </w:rPr>
        <w:t>».</w:t>
      </w:r>
    </w:p>
    <w:p>
      <w:pPr>
        <w:pStyle w:val="ListParagraph"/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учете командировочных расходов стоимость проезда (авиа-, ж/д, …) определяется </w:t>
      </w:r>
      <w:r>
        <w:rPr>
          <w:rFonts w:eastAsia="Calibri" w:ascii="Times New Roman" w:hAnsi="Times New Roman"/>
          <w:sz w:val="24"/>
          <w:szCs w:val="24"/>
          <w:lang w:eastAsia="en-US"/>
        </w:rPr>
        <w:t>методами, предусмотренными Методикой ПЦ (методы без использования сметных нормативов)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color w:val="FF0000"/>
          <w:sz w:val="24"/>
          <w:szCs w:val="24"/>
        </w:rPr>
        <w:t>(включить соответствующие требования Методики ПЦ отдельным приложением)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ListParagraph"/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>
      <w:pPr>
        <w:sectPr>
          <w:footerReference w:type="default" r:id="rId50"/>
          <w:footerReference w:type="first" r:id="rId51"/>
          <w:footnotePr>
            <w:numFmt w:val="decimal"/>
            <w:numRestart w:val="eachSect"/>
          </w:footnotePr>
          <w:type w:val="nextPage"/>
          <w:pgSz w:w="11906" w:h="16838"/>
          <w:pgMar w:left="1418" w:right="851" w:gutter="0" w:header="0" w:top="1134" w:footer="709" w:bottom="1134"/>
          <w:pgNumType w:fmt="decimal"/>
          <w:formProt w:val="false"/>
          <w:textDirection w:val="lrTb"/>
          <w:docGrid w:type="default" w:linePitch="360" w:charSpace="0"/>
        </w:sectPr>
        <w:pStyle w:val="ListParagraph"/>
        <w:tabs>
          <w:tab w:val="clear" w:pos="709"/>
          <w:tab w:val="left" w:pos="1080" w:leader="none"/>
        </w:tabs>
        <w:spacing w:lineRule="auto" w:line="240" w:before="0" w:after="0"/>
        <w:ind w:left="993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</w:r>
    </w:p>
    <w:p>
      <w:pPr>
        <w:pStyle w:val="Normal"/>
        <w:spacing w:lineRule="auto" w:line="240" w:before="0" w:after="0"/>
        <w:ind w:left="5811" w:right="-2"/>
        <w:contextualSpacing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 2</w:t>
      </w:r>
    </w:p>
    <w:p>
      <w:pPr>
        <w:pStyle w:val="Normal"/>
        <w:spacing w:lineRule="auto" w:line="240" w:before="0" w:after="0"/>
        <w:ind w:left="5811" w:right="-2"/>
        <w:contextualSpacing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p>
      <w:pPr>
        <w:pStyle w:val="Normal"/>
        <w:shd w:val="clear" w:color="auto" w:fill="FFFFFF"/>
        <w:spacing w:lineRule="auto" w:line="240" w:before="0" w:after="0"/>
        <w:ind w:firstLine="284"/>
        <w:contextualSpacing/>
        <w:jc w:val="center"/>
        <w:rPr>
          <w:rFonts w:ascii="Times New Roman" w:hAnsi="Times New Roman"/>
          <w:b/>
          <w:bCs/>
          <w:iCs/>
          <w:spacing w:val="-4"/>
        </w:rPr>
      </w:pPr>
      <w:r>
        <w:rPr>
          <w:rFonts w:ascii="Times New Roman" w:hAnsi="Times New Roman"/>
          <w:b/>
          <w:bCs/>
          <w:iCs/>
          <w:spacing w:val="-4"/>
        </w:rPr>
      </w:r>
    </w:p>
    <w:tbl>
      <w:tblPr>
        <w:tblW w:w="935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356"/>
      </w:tblGrid>
      <w:tr>
        <w:trPr/>
        <w:tc>
          <w:tcPr>
            <w:tcW w:w="9356" w:type="dxa"/>
            <w:tcBorders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Образец сметы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основные и дополнительные проектные работы,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 также сопутствующие работы (форма 2п)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СМЕТА №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проектные работы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__________________________________________________________________________________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(наименование объекта)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Заказчик ________________________________________________________________________________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(наименование организации)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Проектная организация ___________________________________________________________________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(наименование организации)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Составлена в уровне цен на ___________ 20__ г.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tbl>
            <w:tblPr>
              <w:tblW w:w="9521" w:type="dxa"/>
              <w:jc w:val="left"/>
              <w:tblInd w:w="-10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noHBand="0" w:noVBand="1" w:firstColumn="1" w:lastRow="0" w:lastColumn="0" w:firstRow="1"/>
            </w:tblPr>
            <w:tblGrid>
              <w:gridCol w:w="454"/>
              <w:gridCol w:w="1814"/>
              <w:gridCol w:w="3425"/>
              <w:gridCol w:w="1984"/>
              <w:gridCol w:w="1844"/>
            </w:tblGrid>
            <w:tr>
              <w:trPr/>
              <w:tc>
                <w:tcPr>
                  <w:tcW w:w="4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N пп</w:t>
                  </w:r>
                </w:p>
              </w:tc>
              <w:tc>
                <w:tcPr>
                  <w:tcW w:w="1814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Наименование объекта проектирования или вида проектных работ</w:t>
                  </w:r>
                </w:p>
              </w:tc>
              <w:tc>
                <w:tcPr>
                  <w:tcW w:w="3425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Наименование, номера глав, таблиц, параграфов и пунктов МНЗ (СБЦ) на проектные работы</w:t>
                  </w: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Расчет стоимости</w:t>
                  </w:r>
                </w:p>
              </w:tc>
              <w:tc>
                <w:tcPr>
                  <w:tcW w:w="1844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ind w:left="187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Сметная стоимость, руб.</w:t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454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1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bookmarkStart w:id="72" w:name="P3725"/>
                  <w:bookmarkEnd w:id="72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25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bookmarkStart w:id="73" w:name="P3726"/>
                  <w:bookmarkEnd w:id="73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bookmarkStart w:id="74" w:name="P3727"/>
                  <w:bookmarkEnd w:id="74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84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spacing w:lineRule="auto" w:line="240" w:before="0" w:after="0"/>
                    <w:ind w:left="187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bookmarkStart w:id="75" w:name="P3728"/>
                  <w:bookmarkEnd w:id="75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  <w:tr>
              <w:trPr/>
              <w:tc>
                <w:tcPr>
                  <w:tcW w:w="454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1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3425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9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4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spacing w:lineRule="auto" w:line="240" w:before="0" w:after="0"/>
                    <w:ind w:left="187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454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1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3425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9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4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spacing w:lineRule="auto" w:line="240" w:before="0" w:after="0"/>
                    <w:ind w:left="187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454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1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3425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9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4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spacing w:lineRule="auto" w:line="240" w:before="0" w:after="0"/>
                    <w:ind w:left="187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454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5239" w:type="dxa"/>
                  <w:gridSpan w:val="2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Итого без учета НДС</w:t>
                  </w:r>
                </w:p>
              </w:tc>
              <w:tc>
                <w:tcPr>
                  <w:tcW w:w="19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4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spacing w:lineRule="auto" w:line="240" w:before="0" w:after="0"/>
                    <w:ind w:left="187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Calibri" w:eastAsiaTheme="minorHAnsi"/>
                <w:lang w:eastAsia="en-US"/>
              </w:rPr>
            </w:pPr>
            <w:r>
              <w:rPr>
                <w:rFonts w:eastAsia="Calibri" w:eastAsiaTheme="minorHAnsi" w:ascii="Times New Roman" w:hAnsi="Times New Roman"/>
                <w:lang w:eastAsia="en-US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bookmarkStart w:id="76" w:name="_Hlk149126469"/>
            <w:r>
              <w:rPr>
                <w:rFonts w:ascii="Times New Roman" w:hAnsi="Times New Roman"/>
              </w:rPr>
              <w:t>Руководитель проектной организации _____________________________________________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Главный инженер проекта _______________________________________________________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___________________ отдела __________________________________________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</w:rPr>
              <w:t xml:space="preserve">                             </w:t>
            </w:r>
            <w:r>
              <w:rPr>
                <w:rFonts w:ascii="Times New Roman" w:hAnsi="Times New Roman"/>
                <w:i/>
                <w:iCs/>
              </w:rPr>
              <w:t>(наименование)                            [подпись (инициалы, фамилия)]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Заказчик _____________________________________________________________________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/>
                <w:iCs/>
              </w:rPr>
            </w:pPr>
            <w:bookmarkStart w:id="77" w:name="_Hlk149126469"/>
            <w:r>
              <w:rPr>
                <w:rFonts w:ascii="Times New Roman" w:hAnsi="Times New Roman"/>
                <w:i/>
                <w:iCs/>
              </w:rPr>
              <w:t>[должность, подпись (инициалы, фамилия)]</w:t>
            </w:r>
            <w:bookmarkEnd w:id="77"/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sectPr>
          <w:footerReference w:type="default" r:id="rId52"/>
          <w:footerReference w:type="first" r:id="rId53"/>
          <w:footnotePr>
            <w:numFmt w:val="decimal"/>
            <w:numRestart w:val="eachSect"/>
          </w:footnotePr>
          <w:type w:val="nextPage"/>
          <w:pgSz w:w="11906" w:h="16838"/>
          <w:pgMar w:left="1418" w:right="851" w:gutter="0" w:header="0" w:top="1134" w:footer="709" w:bottom="1134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Normal"/>
        <w:spacing w:lineRule="auto" w:line="240" w:before="0" w:after="0"/>
        <w:ind w:left="5811"/>
        <w:contextualSpacing/>
        <w:rPr>
          <w:rFonts w:ascii="Times New Roman" w:hAnsi="Times New Roman"/>
          <w:sz w:val="20"/>
        </w:rPr>
      </w:pPr>
      <w:bookmarkStart w:id="78" w:name="P3839"/>
      <w:bookmarkStart w:id="79" w:name="P3838"/>
      <w:bookmarkStart w:id="80" w:name="P3837"/>
      <w:bookmarkStart w:id="81" w:name="P3836"/>
      <w:bookmarkStart w:id="82" w:name="P3835"/>
      <w:bookmarkStart w:id="83" w:name="P3834"/>
      <w:bookmarkStart w:id="84" w:name="P3833"/>
      <w:bookmarkStart w:id="85" w:name="P3832"/>
      <w:bookmarkStart w:id="86" w:name="P3831"/>
      <w:bookmarkStart w:id="87" w:name="P3816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r>
        <w:rPr>
          <w:rFonts w:ascii="Times New Roman" w:hAnsi="Times New Roman"/>
          <w:sz w:val="20"/>
        </w:rPr>
        <w:t>Приложение № 3</w:t>
      </w:r>
    </w:p>
    <w:p>
      <w:pPr>
        <w:pStyle w:val="Normal"/>
        <w:spacing w:lineRule="auto" w:line="240" w:before="0" w:after="0"/>
        <w:ind w:left="581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229"/>
        <w:gridCol w:w="238"/>
        <w:gridCol w:w="2186"/>
        <w:gridCol w:w="1095"/>
        <w:gridCol w:w="306"/>
        <w:gridCol w:w="215"/>
        <w:gridCol w:w="1583"/>
      </w:tblGrid>
      <w:tr>
        <w:trPr>
          <w:trHeight w:val="20" w:hRule="atLeast"/>
        </w:trPr>
        <w:tc>
          <w:tcPr>
            <w:tcW w:w="922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</w:t>
            </w:r>
            <w:r>
              <w:rPr>
                <w:rFonts w:ascii="Times New Roman" w:hAnsi="Times New Roman"/>
              </w:rPr>
              <w:t xml:space="preserve">к Договору    от___ ______202___  №_________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2186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tcBorders/>
            <w:shd w:color="auto" w:fill="FFFFFF" w:val="clear"/>
          </w:tcPr>
          <w:p>
            <w:pPr>
              <w:pStyle w:val="Normal"/>
              <w:tabs>
                <w:tab w:val="clear" w:pos="709"/>
                <w:tab w:val="left" w:pos="627" w:leader="none"/>
              </w:tabs>
              <w:spacing w:lineRule="auto" w:line="240" w:before="0" w:after="0"/>
              <w:ind w:hanging="1332" w:left="-526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5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83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70" w:hRule="atLeast"/>
        </w:trPr>
        <w:tc>
          <w:tcPr>
            <w:tcW w:w="922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38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281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21" w:type="dxa"/>
            <w:gridSpan w:val="2"/>
            <w:tcBorders/>
            <w:shd w:color="auto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83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1653" w:type="dxa"/>
            <w:gridSpan w:val="3"/>
            <w:tcBorders/>
          </w:tcPr>
          <w:tbl>
            <w:tblPr>
              <w:tblW w:w="9575" w:type="dxa"/>
              <w:jc w:val="left"/>
              <w:tblInd w:w="0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noHBand="0" w:noVBand="0" w:firstColumn="0" w:lastRow="0" w:lastColumn="0" w:firstRow="0"/>
            </w:tblPr>
            <w:tblGrid>
              <w:gridCol w:w="977"/>
              <w:gridCol w:w="2695"/>
              <w:gridCol w:w="1783"/>
              <w:gridCol w:w="2044"/>
              <w:gridCol w:w="2076"/>
            </w:tblGrid>
            <w:tr>
              <w:trPr/>
              <w:tc>
                <w:tcPr>
                  <w:tcW w:w="9575" w:type="dxa"/>
                  <w:gridSpan w:val="5"/>
                  <w:tcBorders/>
                </w:tcPr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СВОДНАЯ СМЕТА №</w:t>
                  </w:r>
                </w:p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на проектные работы и инженерные изыскания</w:t>
                  </w:r>
                </w:p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_________________________________________________________________________________</w:t>
                  </w:r>
                </w:p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/>
                      <w:i/>
                      <w:i/>
                      <w:iCs/>
                    </w:rPr>
                  </w:pPr>
                  <w:r>
                    <w:rPr>
                      <w:rFonts w:ascii="Times New Roman" w:hAnsi="Times New Roman"/>
                      <w:i/>
                      <w:iCs/>
                    </w:rPr>
                    <w:t>(наименование объекта)</w:t>
                  </w:r>
                </w:p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Заказчик ___________________________________________________________________________</w:t>
                  </w:r>
                </w:p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/>
                      <w:i/>
                      <w:i/>
                      <w:iCs/>
                    </w:rPr>
                  </w:pPr>
                  <w:r>
                    <w:rPr>
                      <w:rFonts w:ascii="Times New Roman" w:hAnsi="Times New Roman"/>
                      <w:i/>
                      <w:iCs/>
                    </w:rPr>
                    <w:t>(наименование организации)</w:t>
                  </w:r>
                </w:p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Проектная организация ______________________________________________________________</w:t>
                  </w:r>
                </w:p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/>
                      <w:i/>
                      <w:i/>
                      <w:iCs/>
                    </w:rPr>
                  </w:pPr>
                  <w:r>
                    <w:rPr>
                      <w:rFonts w:ascii="Times New Roman" w:hAnsi="Times New Roman"/>
                      <w:i/>
                      <w:iCs/>
                    </w:rPr>
                    <w:t>(наименование организации)</w:t>
                  </w:r>
                </w:p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Составлена в уровне цен на ___________ 20__ г.</w:t>
                  </w:r>
                </w:p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>
                <w:trHeight w:val="365" w:hRule="atLeast"/>
              </w:trPr>
              <w:tc>
                <w:tcPr>
                  <w:tcW w:w="97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N№ п/п</w:t>
                  </w:r>
                </w:p>
              </w:tc>
              <w:tc>
                <w:tcPr>
                  <w:tcW w:w="269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Обоснование</w:t>
                  </w:r>
                </w:p>
              </w:tc>
              <w:tc>
                <w:tcPr>
                  <w:tcW w:w="412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Сметная стоимость, руб.</w:t>
                  </w:r>
                </w:p>
              </w:tc>
            </w:tr>
            <w:tr>
              <w:trPr>
                <w:trHeight w:val="74" w:hRule="atLeast"/>
              </w:trPr>
              <w:tc>
                <w:tcPr>
                  <w:tcW w:w="977" w:type="dxa"/>
                  <w:vMerge w:val="continue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spacing w:before="0"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2695" w:type="dxa"/>
                  <w:vMerge w:val="continue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spacing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1783" w:type="dxa"/>
                  <w:vMerge w:val="continue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spacing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20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инженерных изысканий</w:t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проектных работ</w:t>
                  </w:r>
                </w:p>
              </w:tc>
            </w:tr>
            <w:tr>
              <w:trPr>
                <w:trHeight w:val="19" w:hRule="atLeast"/>
              </w:trPr>
              <w:tc>
                <w:tcPr>
                  <w:tcW w:w="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6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ind w:firstLine="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0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5</w:t>
                  </w:r>
                </w:p>
              </w:tc>
            </w:tr>
            <w:tr>
              <w:trPr>
                <w:trHeight w:val="274" w:hRule="atLeast"/>
              </w:trPr>
              <w:tc>
                <w:tcPr>
                  <w:tcW w:w="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I</w:t>
                  </w:r>
                </w:p>
              </w:tc>
              <w:tc>
                <w:tcPr>
                  <w:tcW w:w="26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Инженерные изыскания</w:t>
                  </w:r>
                </w:p>
              </w:tc>
              <w:tc>
                <w:tcPr>
                  <w:tcW w:w="1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>
                <w:trHeight w:val="493" w:hRule="atLeast"/>
              </w:trPr>
              <w:tc>
                <w:tcPr>
                  <w:tcW w:w="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6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&lt;X&gt;</w:t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>
                <w:trHeight w:val="281" w:hRule="atLeast"/>
              </w:trPr>
              <w:tc>
                <w:tcPr>
                  <w:tcW w:w="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II</w:t>
                  </w:r>
                </w:p>
              </w:tc>
              <w:tc>
                <w:tcPr>
                  <w:tcW w:w="26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Проектная документация</w:t>
                  </w:r>
                </w:p>
              </w:tc>
              <w:tc>
                <w:tcPr>
                  <w:tcW w:w="1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/>
              <w:tc>
                <w:tcPr>
                  <w:tcW w:w="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6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&lt;X&gt;</w:t>
                  </w:r>
                </w:p>
              </w:tc>
            </w:tr>
            <w:tr>
              <w:trPr>
                <w:trHeight w:val="323" w:hRule="atLeast"/>
              </w:trPr>
              <w:tc>
                <w:tcPr>
                  <w:tcW w:w="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III</w:t>
                  </w:r>
                </w:p>
              </w:tc>
              <w:tc>
                <w:tcPr>
                  <w:tcW w:w="26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Рабочая документация</w:t>
                  </w:r>
                </w:p>
              </w:tc>
              <w:tc>
                <w:tcPr>
                  <w:tcW w:w="1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/>
              <w:tc>
                <w:tcPr>
                  <w:tcW w:w="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6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&lt;X&gt;</w:t>
                  </w:r>
                </w:p>
              </w:tc>
            </w:tr>
            <w:tr>
              <w:trPr/>
              <w:tc>
                <w:tcPr>
                  <w:tcW w:w="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6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Итого по видам работ</w:t>
                  </w:r>
                </w:p>
              </w:tc>
              <w:tc>
                <w:tcPr>
                  <w:tcW w:w="1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&lt;X&gt;</w:t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&lt;X&gt;</w:t>
                  </w:r>
                </w:p>
              </w:tc>
            </w:tr>
            <w:tr>
              <w:trPr/>
              <w:tc>
                <w:tcPr>
                  <w:tcW w:w="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6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ВСЕГО</w:t>
                  </w:r>
                </w:p>
              </w:tc>
              <w:tc>
                <w:tcPr>
                  <w:tcW w:w="1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412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&lt;X&gt;</w:t>
                  </w:r>
                </w:p>
              </w:tc>
            </w:tr>
          </w:tbl>
          <w:p>
            <w:pPr>
              <w:pStyle w:val="ConsPlusNormal1"/>
              <w:ind w:firstLine="720" w:right="-552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3199" w:type="dxa"/>
            <w:gridSpan w:val="4"/>
            <w:tcBorders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Руководитель проектной организации 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Главный инженер проекта 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Начальник ___________________ отдела 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</w:rPr>
        <w:t xml:space="preserve">                             </w:t>
      </w:r>
      <w:r>
        <w:rPr>
          <w:rFonts w:ascii="Times New Roman" w:hAnsi="Times New Roman"/>
          <w:i/>
          <w:iCs/>
        </w:rPr>
        <w:t>(наименование)                            [подпись (инициалы, фамилия)]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Заказчик _____________________________________________________________________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[должность, подпись (инициалы, фамилия)]</w:t>
      </w:r>
    </w:p>
    <w:p>
      <w:pPr>
        <w:pStyle w:val="Normal"/>
        <w:spacing w:lineRule="auto" w:line="240" w:before="0" w:after="0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  <w:r>
        <w:br w:type="page"/>
      </w:r>
    </w:p>
    <w:p>
      <w:pPr>
        <w:pStyle w:val="Normal"/>
        <w:spacing w:lineRule="auto" w:line="240" w:before="0" w:after="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№1</w:t>
      </w:r>
    </w:p>
    <w:p>
      <w:pPr>
        <w:pStyle w:val="Normal"/>
        <w:spacing w:lineRule="auto" w:line="240" w:before="0" w:after="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пояснительной записке</w:t>
      </w:r>
    </w:p>
    <w:p>
      <w:pPr>
        <w:pStyle w:val="Normal"/>
        <w:spacing w:lineRule="auto" w:line="240" w:before="0" w:after="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 заполнению формы 3П</w:t>
      </w:r>
    </w:p>
    <w:p>
      <w:pPr>
        <w:pStyle w:val="Normal"/>
        <w:spacing w:lineRule="auto" w:line="240" w:before="0" w:after="0"/>
        <w:ind w:left="6373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bookmarkStart w:id="88" w:name="_Hlk146878269"/>
      <w:r>
        <w:rPr>
          <w:rFonts w:ascii="Times New Roman" w:hAnsi="Times New Roman"/>
        </w:rPr>
        <w:t>Образец сметы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 проектные работы в соответствии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 калькуляцией затрат (форма 3п)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СМЕТА №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 проектные работы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firstLine="1134" w:right="124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(наименование объекта)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right="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Заказчик ________________________________________________________________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(наименование организации)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right="124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Проектная организация 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(наименование организации)</w:t>
      </w:r>
    </w:p>
    <w:p>
      <w:pPr>
        <w:pStyle w:val="Normal"/>
        <w:spacing w:lineRule="auto" w:line="240" w:before="0" w:after="0"/>
        <w:ind w:right="124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Составлена в уровне цен на ___________ 20__ г.</w:t>
      </w:r>
    </w:p>
    <w:p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Расчет коэффициента, учитывающего степень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участия исполнителей-проектировщиков различной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квалификации в выполнении проектных работ (Ккв-уч)</w:t>
      </w:r>
    </w:p>
    <w:tbl>
      <w:tblPr>
        <w:tblW w:w="10055" w:type="dxa"/>
        <w:jc w:val="left"/>
        <w:tblInd w:w="-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557"/>
        <w:gridCol w:w="1417"/>
        <w:gridCol w:w="1560"/>
        <w:gridCol w:w="1985"/>
        <w:gridCol w:w="1559"/>
        <w:gridCol w:w="1418"/>
        <w:gridCol w:w="1558"/>
      </w:tblGrid>
      <w:tr>
        <w:trPr/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должностей исполнителей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ind w:firstLine="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Фактическое время участия исполнителя в работе, Тф (дни)</w:t>
            </w:r>
          </w:p>
        </w:tc>
        <w:tc>
          <w:tcPr>
            <w:tcW w:w="19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Плановая продолжительность выполнения проектных работ, предусмотренных калькуляцией, Тп (дни)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ind w:hanging="56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Численность исполнителей одной квалификации Чi (чел)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Индекс уровня квалификации специалистов исполнителей работы И</w:t>
            </w:r>
            <w:r>
              <w:rPr>
                <w:rFonts w:cs="Times New Roman" w:ascii="Times New Roman" w:hAnsi="Times New Roman"/>
                <w:lang w:val="en-US"/>
              </w:rPr>
              <w:t>i</w:t>
            </w:r>
          </w:p>
        </w:tc>
        <w:tc>
          <w:tcPr>
            <w:tcW w:w="15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ind w:firstLine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Коэффициент квалификации (участия) специалистов одной квалификации,</w:t>
            </w:r>
          </w:p>
          <w:p>
            <w:pPr>
              <w:pStyle w:val="ConsPlusNormal1"/>
              <w:ind w:firstLine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∑</w:t>
            </w:r>
            <w:r>
              <w:rPr>
                <w:rFonts w:cs="Times New Roman" w:ascii="Times New Roman" w:hAnsi="Times New Roman"/>
              </w:rPr>
              <w:t>(гр.3/итог гр.4 х гр.5 х гр.6) / ∑гр.5</w:t>
            </w:r>
          </w:p>
        </w:tc>
      </w:tr>
      <w:tr>
        <w:trPr/>
        <w:tc>
          <w:tcPr>
            <w:tcW w:w="5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8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5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</w:tr>
      <w:tr>
        <w:trPr/>
        <w:tc>
          <w:tcPr>
            <w:tcW w:w="5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51"/>
              <w:jc w:val="center"/>
              <w:rPr>
                <w:rFonts w:ascii="Times New Roman" w:hAnsi="Times New Roman" w:cs="Times New Roman"/>
              </w:rPr>
            </w:pPr>
            <w:hyperlink w:anchor="P3816">
              <w:r>
                <w:rPr>
                  <w:rStyle w:val="Hyperlink"/>
                  <w:rFonts w:cs="Times New Roman" w:ascii="Times New Roman" w:hAnsi="Times New Roman"/>
                </w:rPr>
                <w:t>*</w:t>
              </w:r>
            </w:hyperlink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51"/>
              <w:jc w:val="center"/>
              <w:rPr>
                <w:rFonts w:ascii="Times New Roman" w:hAnsi="Times New Roman" w:cs="Times New Roman"/>
              </w:rPr>
            </w:pPr>
            <w:hyperlink w:anchor="P3816">
              <w:r>
                <w:rPr>
                  <w:rStyle w:val="Hyperlink"/>
                  <w:rFonts w:cs="Times New Roman" w:ascii="Times New Roman" w:hAnsi="Times New Roman"/>
                </w:rPr>
                <w:t>*</w:t>
              </w:r>
            </w:hyperlink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51"/>
              <w:jc w:val="center"/>
              <w:rPr>
                <w:rFonts w:ascii="Times New Roman" w:hAnsi="Times New Roman" w:cs="Times New Roman"/>
              </w:rPr>
            </w:pPr>
            <w:hyperlink w:anchor="P3816">
              <w:r>
                <w:rPr>
                  <w:rStyle w:val="Hyperlink"/>
                  <w:rFonts w:cs="Times New Roman" w:ascii="Times New Roman" w:hAnsi="Times New Roman"/>
                </w:rPr>
                <w:t>*</w:t>
              </w:r>
            </w:hyperlink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Итого</w:t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hyperlink w:anchor="P3816">
              <w:r>
                <w:rPr>
                  <w:rStyle w:val="Hyperlink"/>
                  <w:rFonts w:cs="Times New Roman" w:ascii="Times New Roman" w:hAnsi="Times New Roman"/>
                </w:rPr>
                <w:t>*</w:t>
              </w:r>
            </w:hyperlink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5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hyperlink w:anchor="P3816">
              <w:r>
                <w:rPr>
                  <w:rStyle w:val="Hyperlink"/>
                  <w:rFonts w:cs="Times New Roman" w:ascii="Times New Roman" w:hAnsi="Times New Roman"/>
                </w:rPr>
                <w:t>*</w:t>
              </w:r>
            </w:hyperlink>
          </w:p>
        </w:tc>
        <w:tc>
          <w:tcPr>
            <w:tcW w:w="15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Примечание: &lt;*&gt; Графы для расчета коэффициента в таблице не заполняются</w:t>
      </w:r>
    </w:p>
    <w:p>
      <w:pPr>
        <w:sectPr>
          <w:footerReference w:type="default" r:id="rId54"/>
          <w:footerReference w:type="first" r:id="rId55"/>
          <w:footnotePr>
            <w:numFmt w:val="decimal"/>
            <w:numRestart w:val="eachSect"/>
          </w:footnotePr>
          <w:type w:val="nextPage"/>
          <w:pgSz w:w="11906" w:h="16838"/>
          <w:pgMar w:left="1418" w:right="851" w:gutter="0" w:header="0" w:top="1134" w:footer="709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br w:type="page"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Расчет стоимости проектных работ в соответствии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 калькуляцией затрат на проектирование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5501" w:type="dxa"/>
        <w:jc w:val="left"/>
        <w:tblInd w:w="-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1833"/>
        <w:gridCol w:w="1276"/>
        <w:gridCol w:w="1700"/>
        <w:gridCol w:w="1844"/>
        <w:gridCol w:w="1134"/>
        <w:gridCol w:w="1701"/>
        <w:gridCol w:w="1416"/>
        <w:gridCol w:w="1701"/>
        <w:gridCol w:w="1604"/>
        <w:gridCol w:w="1290"/>
      </w:tblGrid>
      <w:tr>
        <w:trPr/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Среднемесячная зарплата исполнителей, руб.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Кол-во рабочих дней в месяце, дни</w:t>
            </w:r>
          </w:p>
        </w:tc>
        <w:tc>
          <w:tcPr>
            <w:tcW w:w="17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Среднедневная зарплата исполнителей, руб.</w:t>
            </w:r>
          </w:p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</w:t>
            </w:r>
            <w:hyperlink w:anchor="P3831">
              <w:r>
                <w:rPr>
                  <w:rStyle w:val="Hyperlink"/>
                  <w:rFonts w:cs="Times New Roman" w:ascii="Times New Roman" w:hAnsi="Times New Roman"/>
                </w:rPr>
                <w:t>гр 1</w:t>
              </w:r>
            </w:hyperlink>
            <w:r>
              <w:rPr>
                <w:rFonts w:cs="Times New Roman" w:ascii="Times New Roman" w:hAnsi="Times New Roman"/>
              </w:rPr>
              <w:t xml:space="preserve"> / </w:t>
            </w:r>
            <w:hyperlink w:anchor="P3832">
              <w:r>
                <w:rPr>
                  <w:rStyle w:val="Hyperlink"/>
                  <w:rFonts w:cs="Times New Roman" w:ascii="Times New Roman" w:hAnsi="Times New Roman"/>
                </w:rPr>
                <w:t>гр 2</w:t>
              </w:r>
            </w:hyperlink>
            <w:r>
              <w:rPr>
                <w:rFonts w:cs="Times New Roman" w:ascii="Times New Roman" w:hAnsi="Times New Roman"/>
              </w:rPr>
              <w:t>)</w:t>
            </w:r>
          </w:p>
        </w:tc>
        <w:tc>
          <w:tcPr>
            <w:tcW w:w="184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Удельный вес зарплаты в себестоимости работ - Кз, %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Рентабель-ность, %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Среднедневная единичная выработка, руб. (</w:t>
            </w:r>
            <w:hyperlink w:anchor="P3833">
              <w:r>
                <w:rPr>
                  <w:rStyle w:val="Hyperlink"/>
                  <w:rFonts w:cs="Times New Roman" w:ascii="Times New Roman" w:hAnsi="Times New Roman"/>
                </w:rPr>
                <w:t>гр. 3</w:t>
              </w:r>
            </w:hyperlink>
            <w:r>
              <w:rPr>
                <w:rFonts w:cs="Times New Roman" w:ascii="Times New Roman" w:hAnsi="Times New Roman"/>
              </w:rPr>
              <w:t xml:space="preserve"> x (1 + </w:t>
            </w:r>
            <w:hyperlink w:anchor="P3835">
              <w:r>
                <w:rPr>
                  <w:rStyle w:val="Hyperlink"/>
                  <w:rFonts w:cs="Times New Roman" w:ascii="Times New Roman" w:hAnsi="Times New Roman"/>
                </w:rPr>
                <w:t>гр. 5</w:t>
              </w:r>
            </w:hyperlink>
            <w:r>
              <w:rPr>
                <w:rFonts w:cs="Times New Roman" w:ascii="Times New Roman" w:hAnsi="Times New Roman"/>
              </w:rPr>
              <w:t xml:space="preserve">)) / </w:t>
            </w:r>
            <w:hyperlink w:anchor="P3834">
              <w:r>
                <w:rPr>
                  <w:rStyle w:val="Hyperlink"/>
                  <w:rFonts w:cs="Times New Roman" w:ascii="Times New Roman" w:hAnsi="Times New Roman"/>
                </w:rPr>
                <w:t>гр. 4</w:t>
              </w:r>
            </w:hyperlink>
          </w:p>
        </w:tc>
        <w:tc>
          <w:tcPr>
            <w:tcW w:w="14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Продолжи-тельность разработки (дни)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Численность исполнителей (чел.)</w:t>
            </w:r>
          </w:p>
        </w:tc>
        <w:tc>
          <w:tcPr>
            <w:tcW w:w="16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Коэффициент квалификации (участия) </w:t>
            </w:r>
          </w:p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Ккв-уч</w:t>
            </w:r>
          </w:p>
        </w:tc>
        <w:tc>
          <w:tcPr>
            <w:tcW w:w="12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Стоимость работ, руб. </w:t>
            </w:r>
          </w:p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 = (</w:t>
            </w:r>
            <w:hyperlink w:anchor="P3836">
              <w:r>
                <w:rPr>
                  <w:rStyle w:val="Hyperlink"/>
                  <w:rFonts w:cs="Times New Roman" w:ascii="Times New Roman" w:hAnsi="Times New Roman"/>
                </w:rPr>
                <w:t>гр. 6</w:t>
              </w:r>
            </w:hyperlink>
            <w:r>
              <w:rPr>
                <w:rFonts w:cs="Times New Roman" w:ascii="Times New Roman" w:hAnsi="Times New Roman"/>
              </w:rPr>
              <w:t xml:space="preserve"> x </w:t>
            </w:r>
            <w:hyperlink w:anchor="P3837">
              <w:r>
                <w:rPr>
                  <w:rStyle w:val="Hyperlink"/>
                  <w:rFonts w:cs="Times New Roman" w:ascii="Times New Roman" w:hAnsi="Times New Roman"/>
                </w:rPr>
                <w:t>гр. 7</w:t>
              </w:r>
            </w:hyperlink>
            <w:r>
              <w:rPr>
                <w:rFonts w:cs="Times New Roman" w:ascii="Times New Roman" w:hAnsi="Times New Roman"/>
              </w:rPr>
              <w:t xml:space="preserve"> x </w:t>
            </w:r>
            <w:hyperlink w:anchor="P3838">
              <w:r>
                <w:rPr>
                  <w:rStyle w:val="Hyperlink"/>
                  <w:rFonts w:cs="Times New Roman" w:ascii="Times New Roman" w:hAnsi="Times New Roman"/>
                </w:rPr>
                <w:t>гр. 8</w:t>
              </w:r>
            </w:hyperlink>
            <w:r>
              <w:rPr>
                <w:rFonts w:cs="Times New Roman" w:ascii="Times New Roman" w:hAnsi="Times New Roman"/>
              </w:rPr>
              <w:t xml:space="preserve"> x </w:t>
            </w:r>
            <w:hyperlink w:anchor="P3839">
              <w:r>
                <w:rPr>
                  <w:rStyle w:val="Hyperlink"/>
                  <w:rFonts w:cs="Times New Roman" w:ascii="Times New Roman" w:hAnsi="Times New Roman"/>
                </w:rPr>
                <w:t>гр. 9</w:t>
              </w:r>
            </w:hyperlink>
            <w:r>
              <w:rPr>
                <w:rFonts w:cs="Times New Roman" w:ascii="Times New Roman" w:hAnsi="Times New Roman"/>
              </w:rPr>
              <w:t>)</w:t>
            </w:r>
          </w:p>
        </w:tc>
      </w:tr>
      <w:tr>
        <w:trPr/>
        <w:tc>
          <w:tcPr>
            <w:tcW w:w="18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41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160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129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</w:tr>
      <w:tr>
        <w:trPr/>
        <w:tc>
          <w:tcPr>
            <w:tcW w:w="18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0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9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ConsPlusNormal1"/>
        <w:jc w:val="both"/>
        <w:rPr>
          <w:rFonts w:ascii="Times New Roman" w:hAnsi="Times New Roman" w:eastAsia="Calibri" w:cs="Times New Roman" w:eastAsiaTheme="minorHAnsi"/>
          <w:sz w:val="24"/>
          <w:szCs w:val="24"/>
        </w:rPr>
      </w:pPr>
      <w:r>
        <w:rPr>
          <w:rFonts w:eastAsia="Calibri" w:cs="Times New Roman" w:eastAsiaTheme="minorHAnsi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right="2947"/>
        <w:jc w:val="both"/>
        <w:rPr>
          <w:rFonts w:ascii="Times New Roman" w:hAnsi="Times New Roman" w:eastAsia="Calibri" w:eastAsiaTheme="minorHAnsi"/>
        </w:rPr>
      </w:pPr>
      <w:r>
        <w:rPr>
          <w:rFonts w:ascii="Times New Roman" w:hAnsi="Times New Roman"/>
        </w:rPr>
        <w:t>Руководитель</w:t>
      </w:r>
    </w:p>
    <w:p>
      <w:pPr>
        <w:pStyle w:val="Normal"/>
        <w:spacing w:lineRule="auto" w:line="240" w:before="0" w:after="0"/>
        <w:ind w:right="294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проектной организации _______________________________________________________________________________</w:t>
      </w:r>
    </w:p>
    <w:p>
      <w:pPr>
        <w:pStyle w:val="Normal"/>
        <w:spacing w:lineRule="auto" w:line="240" w:before="0" w:after="0"/>
        <w:ind w:right="2947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>
      <w:pPr>
        <w:pStyle w:val="Normal"/>
        <w:spacing w:lineRule="auto" w:line="240" w:before="0" w:after="0"/>
        <w:ind w:right="2947"/>
        <w:jc w:val="both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pStyle w:val="Normal"/>
        <w:spacing w:lineRule="auto" w:line="240" w:before="0" w:after="0"/>
        <w:ind w:right="294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Главный инженер</w:t>
      </w:r>
    </w:p>
    <w:p>
      <w:pPr>
        <w:pStyle w:val="Normal"/>
        <w:spacing w:lineRule="auto" w:line="240" w:before="0" w:after="0"/>
        <w:ind w:right="294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проекта _______________________________________________________________________________________________</w:t>
      </w:r>
    </w:p>
    <w:p>
      <w:pPr>
        <w:pStyle w:val="Normal"/>
        <w:spacing w:lineRule="auto" w:line="240" w:before="0" w:after="0"/>
        <w:ind w:right="2947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>
      <w:pPr>
        <w:pStyle w:val="Normal"/>
        <w:spacing w:lineRule="auto" w:line="240" w:before="0" w:after="0"/>
        <w:ind w:right="2947"/>
        <w:jc w:val="both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pStyle w:val="Normal"/>
        <w:spacing w:lineRule="auto" w:line="240" w:before="0" w:after="0"/>
        <w:ind w:right="2947"/>
        <w:jc w:val="both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  <w:bookmarkStart w:id="89" w:name="_MON_1758635370"/>
      <w:bookmarkStart w:id="90" w:name="_MON_1758635370"/>
      <w:bookmarkEnd w:id="90"/>
    </w:p>
    <w:p>
      <w:pPr>
        <w:sectPr>
          <w:footerReference w:type="default" r:id="rId58"/>
          <w:footerReference w:type="first" r:id="rId59"/>
          <w:footnotePr>
            <w:numFmt w:val="decimal"/>
            <w:numRestart w:val="eachSect"/>
          </w:footnotePr>
          <w:type w:val="nextPage"/>
          <w:pgSz w:orient="landscape" w:w="16838" w:h="11906"/>
          <w:pgMar w:left="1418" w:right="851" w:gutter="0" w:header="0" w:top="1134" w:footer="709" w:bottom="1134"/>
          <w:pgNumType w:fmt="decimal"/>
          <w:formProt w:val="false"/>
          <w:textDirection w:val="lrTb"/>
          <w:docGrid w:type="default" w:linePitch="360" w:charSpace="0"/>
        </w:sectPr>
        <w:pStyle w:val="ConsPlusNormal1"/>
        <w:ind w:hanging="0"/>
        <w:jc w:val="both"/>
        <w:rPr>
          <w:rFonts w:ascii="Times New Roman" w:hAnsi="Times New Roman" w:cs="Times New Roman"/>
          <w:sz w:val="22"/>
          <w:szCs w:val="22"/>
        </w:rPr>
      </w:pPr>
      <w:bookmarkStart w:id="91" w:name="_MON_1758635370"/>
      <w:bookmarkEnd w:id="91"/>
      <w:r>
        <w:rPr/>
        <w:object>
          <v:shapetype id="_x0000_tole_rId56" coordsize="21600,21600" o:spt="ole_rId56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56" type="_x0000_tole_rId56" style="width:79.45pt;height:50.65pt;mso-wrap-distance-right:0pt" filled="f" o:ole="">
            <v:imagedata r:id="rId57" o:title=""/>
          </v:shape>
          <o:OLEObject Type="Embed" ProgID="Excel.Sheet.12" ShapeID="ole_rId56" DrawAspect="Icon" ObjectID="_243890056" r:id="rId56"/>
        </w:objec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bookmarkStart w:id="92" w:name="P3865"/>
      <w:bookmarkEnd w:id="92"/>
      <w:r>
        <w:rPr>
          <w:rFonts w:ascii="Times New Roman" w:hAnsi="Times New Roman"/>
        </w:rPr>
        <w:t>Образец сметного расчета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 командировочные расходы по работам,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связанным с проектированием объекта (форма 4п)</w:t>
      </w:r>
    </w:p>
    <w:p>
      <w:pPr>
        <w:pStyle w:val="ConsPlusNormal1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tbl>
      <w:tblPr>
        <w:tblW w:w="15038" w:type="dxa"/>
        <w:jc w:val="left"/>
        <w:tblInd w:w="-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491"/>
        <w:gridCol w:w="1626"/>
        <w:gridCol w:w="1698"/>
        <w:gridCol w:w="1973"/>
        <w:gridCol w:w="2663"/>
        <w:gridCol w:w="1272"/>
        <w:gridCol w:w="1917"/>
        <w:gridCol w:w="1991"/>
        <w:gridCol w:w="1405"/>
      </w:tblGrid>
      <w:tr>
        <w:trPr>
          <w:trHeight w:val="644" w:hRule="atLeast"/>
        </w:trPr>
        <w:tc>
          <w:tcPr>
            <w:tcW w:w="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16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Пункт назначения</w:t>
            </w:r>
          </w:p>
        </w:tc>
        <w:tc>
          <w:tcPr>
            <w:tcW w:w="16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специалистов</w:t>
            </w:r>
          </w:p>
        </w:tc>
        <w:tc>
          <w:tcPr>
            <w:tcW w:w="197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Проезд к месту командировки (туда и обратно)</w:t>
            </w:r>
          </w:p>
        </w:tc>
        <w:tc>
          <w:tcPr>
            <w:tcW w:w="26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Проживание в номере гостиницы класса "3 звезды", </w:t>
            </w:r>
          </w:p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 чел/сутки.</w:t>
            </w:r>
          </w:p>
        </w:tc>
        <w:tc>
          <w:tcPr>
            <w:tcW w:w="127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Суточные</w:t>
            </w:r>
          </w:p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 сутки/руб.</w:t>
            </w:r>
          </w:p>
        </w:tc>
        <w:tc>
          <w:tcPr>
            <w:tcW w:w="19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Продолжительность командировки, сутки</w:t>
            </w:r>
          </w:p>
        </w:tc>
        <w:tc>
          <w:tcPr>
            <w:tcW w:w="19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Продолжительность проживания в гостинице, сутки</w:t>
            </w:r>
          </w:p>
        </w:tc>
        <w:tc>
          <w:tcPr>
            <w:tcW w:w="14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Итого затрат, рубли</w:t>
            </w:r>
          </w:p>
        </w:tc>
      </w:tr>
      <w:tr>
        <w:trPr/>
        <w:tc>
          <w:tcPr>
            <w:tcW w:w="4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62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69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97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26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27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91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199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140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</w:tr>
      <w:tr>
        <w:trPr/>
        <w:tc>
          <w:tcPr>
            <w:tcW w:w="4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2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9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7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1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9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0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4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2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9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7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1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9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0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4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2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9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7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1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9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0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815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Итого по сметному расчету</w:t>
            </w:r>
          </w:p>
        </w:tc>
        <w:tc>
          <w:tcPr>
            <w:tcW w:w="197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1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9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0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ConsPlusNormal1"/>
        <w:jc w:val="both"/>
        <w:rPr>
          <w:rFonts w:ascii="Times New Roman" w:hAnsi="Times New Roman" w:eastAsia="Calibri" w:cs="Times New Roman" w:eastAsiaTheme="minorHAnsi"/>
          <w:sz w:val="22"/>
          <w:szCs w:val="22"/>
        </w:rPr>
      </w:pPr>
      <w:r>
        <w:rPr>
          <w:rFonts w:eastAsia="Calibri" w:cs="Times New Roman" w:eastAsiaTheme="minorHAnsi"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ind w:right="2947"/>
        <w:jc w:val="both"/>
        <w:rPr>
          <w:rFonts w:ascii="Times New Roman" w:hAnsi="Times New Roman" w:eastAsia="Calibri" w:eastAsiaTheme="minorHAnsi"/>
        </w:rPr>
      </w:pPr>
      <w:r>
        <w:rPr>
          <w:rFonts w:ascii="Times New Roman" w:hAnsi="Times New Roman"/>
        </w:rPr>
        <w:t>Руководитель</w:t>
      </w:r>
    </w:p>
    <w:p>
      <w:pPr>
        <w:pStyle w:val="Normal"/>
        <w:spacing w:lineRule="auto" w:line="240" w:before="0" w:after="0"/>
        <w:ind w:right="294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проектной организации ________________________________________________________________________________</w:t>
      </w:r>
    </w:p>
    <w:p>
      <w:pPr>
        <w:pStyle w:val="Normal"/>
        <w:spacing w:lineRule="auto" w:line="240" w:before="0" w:after="0"/>
        <w:ind w:right="2947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>
      <w:pPr>
        <w:pStyle w:val="Normal"/>
        <w:spacing w:lineRule="auto" w:line="240" w:before="0" w:after="0"/>
        <w:ind w:right="2947"/>
        <w:jc w:val="both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pStyle w:val="Normal"/>
        <w:spacing w:lineRule="auto" w:line="240" w:before="0" w:after="0"/>
        <w:ind w:right="294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Главный инженер</w:t>
      </w:r>
    </w:p>
    <w:p>
      <w:pPr>
        <w:pStyle w:val="Normal"/>
        <w:spacing w:lineRule="auto" w:line="240" w:before="0" w:after="0"/>
        <w:ind w:right="294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проекта _____________________________________________________________________________________________</w:t>
      </w:r>
    </w:p>
    <w:p>
      <w:pPr>
        <w:pStyle w:val="Normal"/>
        <w:spacing w:lineRule="auto" w:line="240" w:before="0" w:after="0"/>
        <w:ind w:right="2947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>
      <w:pPr>
        <w:pStyle w:val="Normal"/>
        <w:spacing w:lineRule="auto" w:line="240" w:before="0" w:after="0"/>
        <w:ind w:right="2947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pStyle w:val="Normal"/>
        <w:spacing w:lineRule="auto" w:line="240" w:before="0" w:after="0"/>
        <w:ind w:right="2947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pStyle w:val="Normal"/>
        <w:spacing w:lineRule="auto" w:line="240" w:before="0" w:after="0"/>
        <w:ind w:right="2947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sectPr>
          <w:footerReference w:type="default" r:id="rId62"/>
          <w:footerReference w:type="first" r:id="rId63"/>
          <w:footnotePr>
            <w:numFmt w:val="decimal"/>
            <w:numRestart w:val="eachSect"/>
          </w:footnotePr>
          <w:type w:val="nextPage"/>
          <w:pgSz w:orient="landscape" w:w="16838" w:h="11906"/>
          <w:pgMar w:left="1418" w:right="851" w:gutter="0" w:header="0" w:top="1134" w:footer="709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ind w:right="2947"/>
        <w:jc w:val="both"/>
        <w:rPr>
          <w:rFonts w:ascii="Times New Roman" w:hAnsi="Times New Roman"/>
          <w:i/>
          <w:i/>
          <w:iCs/>
        </w:rPr>
      </w:pPr>
      <w:bookmarkStart w:id="93" w:name="_Hlk146878269"/>
      <w:r>
        <w:rPr/>
        <w:object>
          <v:shapetype id="_x0000_tole_rId60" coordsize="21600,21600" o:spt="ole_rId60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60" type="_x0000_tole_rId60" style="width:79.45pt;height:50.65pt;mso-wrap-distance-right:0pt" filled="f" o:ole="">
            <v:imagedata r:id="rId61" o:title=""/>
          </v:shape>
          <o:OLEObject Type="Embed" ProgID="Excel.Sheet.12" ShapeID="ole_rId60" DrawAspect="Icon" ObjectID="_1179813543" r:id="rId60"/>
        </w:object>
      </w:r>
      <w:bookmarkEnd w:id="93"/>
    </w:p>
    <w:p>
      <w:pPr>
        <w:pStyle w:val="Normal"/>
        <w:spacing w:lineRule="auto" w:line="240" w:before="0" w:after="0"/>
        <w:ind w:left="5812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Style w:val="Style15"/>
          <w:rFonts w:ascii="Times New Roman" w:hAnsi="Times New Roman"/>
          <w:iCs/>
        </w:rPr>
      </w:pPr>
      <w:r>
        <w:rPr>
          <w:rStyle w:val="Style15"/>
          <w:rFonts w:ascii="Times New Roman" w:hAnsi="Times New Roman"/>
          <w:iCs/>
        </w:rPr>
        <w:t>Приложение № 5</w:t>
      </w:r>
    </w:p>
    <w:p>
      <w:pPr>
        <w:pStyle w:val="Normal"/>
        <w:widowControl w:val="false"/>
        <w:pBdr>
          <w:bottom w:val="single" w:sz="4" w:space="1" w:color="000000"/>
        </w:pBdr>
        <w:tabs>
          <w:tab w:val="clear" w:pos="709"/>
          <w:tab w:val="left" w:pos="426" w:leader="none"/>
        </w:tabs>
        <w:spacing w:lineRule="auto" w:line="240" w:before="0" w:after="0"/>
        <w:jc w:val="right"/>
        <w:rPr>
          <w:rStyle w:val="Style15"/>
          <w:rFonts w:ascii="Times New Roman" w:hAnsi="Times New Roman"/>
          <w:iCs/>
        </w:rPr>
      </w:pPr>
      <w:r>
        <w:rPr>
          <w:rStyle w:val="Style15"/>
          <w:rFonts w:ascii="Times New Roman" w:hAnsi="Times New Roman"/>
          <w:iCs/>
        </w:rPr>
        <w:t xml:space="preserve">к Основным положениям </w:t>
        <w:br/>
        <w:t xml:space="preserve">по установлению требований к оформлению </w:t>
        <w:br/>
        <w:t xml:space="preserve">и составлению сметной документации </w:t>
      </w:r>
    </w:p>
    <w:p>
      <w:pPr>
        <w:pStyle w:val="Normal"/>
        <w:spacing w:lineRule="auto" w:line="240" w:before="0" w:after="0"/>
        <w:ind w:left="581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widowControl/>
        <w:tabs>
          <w:tab w:val="clear" w:pos="709"/>
          <w:tab w:val="left" w:pos="180" w:leader="none"/>
          <w:tab w:val="left" w:pos="1134" w:leader="none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Требования к оформлению и составлению</w:t>
      </w:r>
    </w:p>
    <w:p>
      <w:pPr>
        <w:pStyle w:val="ConsPlusNormal1"/>
        <w:widowControl/>
        <w:tabs>
          <w:tab w:val="clear" w:pos="709"/>
          <w:tab w:val="left" w:pos="180" w:leader="none"/>
          <w:tab w:val="left" w:pos="1134" w:leader="none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смет или расчетов на выполнение услуг</w:t>
      </w:r>
    </w:p>
    <w:p>
      <w:pPr>
        <w:pStyle w:val="ConsPlusNormal1"/>
        <w:widowControl/>
        <w:tabs>
          <w:tab w:val="clear" w:pos="709"/>
          <w:tab w:val="left" w:pos="180" w:leader="none"/>
          <w:tab w:val="left" w:pos="1134" w:leader="none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по программе научно-исследовательских,</w:t>
      </w:r>
    </w:p>
    <w:p>
      <w:pPr>
        <w:pStyle w:val="ConsPlusNormal1"/>
        <w:widowControl/>
        <w:tabs>
          <w:tab w:val="clear" w:pos="709"/>
          <w:tab w:val="left" w:pos="180" w:leader="none"/>
          <w:tab w:val="left" w:pos="1134" w:leader="none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экспериментальных и опытно-конструкторских работ.</w:t>
      </w:r>
    </w:p>
    <w:p>
      <w:pPr>
        <w:pStyle w:val="ConsPlusNormal1"/>
        <w:widowControl/>
        <w:tabs>
          <w:tab w:val="clear" w:pos="709"/>
          <w:tab w:val="left" w:pos="180" w:leader="none"/>
          <w:tab w:val="left" w:pos="1134" w:leader="none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180" w:leader="none"/>
          <w:tab w:val="left" w:pos="284" w:leader="none"/>
          <w:tab w:val="left" w:pos="993" w:leader="none"/>
          <w:tab w:val="left" w:pos="1134" w:leader="none"/>
        </w:tabs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Настоящие требования разработаны для единого подхода к определению стоимости научно-исследовательских, экспериментальных и опытно-конструкторских работ (далее по тексту–НИР/НИОКР).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180" w:leader="none"/>
          <w:tab w:val="left" w:pos="284" w:leader="none"/>
          <w:tab w:val="left" w:pos="993" w:leader="none"/>
          <w:tab w:val="left" w:pos="1134" w:leader="none"/>
        </w:tabs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Сметы или расчеты на НИР/НИОКР составлять на основании технических требований (технического задания) заказчика, графиков производства работ.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180" w:leader="none"/>
          <w:tab w:val="left" w:pos="284" w:leader="none"/>
          <w:tab w:val="left" w:pos="993" w:leader="none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Стоимость НИР/НИОКР (обследований, обмерных работ и т.д.), определяется на основе Справочников базовых цен и других нормативных сборников, внесенных в Федеральный реестр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 (далее – ФРСН).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180" w:leader="none"/>
          <w:tab w:val="left" w:pos="284" w:leader="none"/>
          <w:tab w:val="left" w:pos="993" w:leader="none"/>
          <w:tab w:val="left" w:pos="1134" w:leader="none"/>
        </w:tabs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180" w:leader="none"/>
          <w:tab w:val="left" w:pos="284" w:leader="none"/>
          <w:tab w:val="left" w:pos="993" w:leader="none"/>
          <w:tab w:val="left" w:pos="1134" w:leader="none"/>
        </w:tabs>
        <w:ind w:firstLine="567"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Пересчет сметной стоимости НИР/НИОКР по состоянию на 01.01.2001г, 01.01.1995г. (1991г.) следует производить согласно индексам на указанные работы, рекомендованным к применению </w:t>
      </w:r>
      <w:r>
        <w:rPr>
          <w:rFonts w:ascii="Times New Roman" w:hAnsi="Times New Roman"/>
          <w:color w:val="000000"/>
          <w:sz w:val="24"/>
          <w:szCs w:val="24"/>
        </w:rPr>
        <w:t>письмом соответствующего органа исполнительной власти, уполномоченного в области сметного нормирования и ценообразования в сфере градостроительной деятельности.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180" w:leader="none"/>
          <w:tab w:val="left" w:pos="1134" w:leader="none"/>
        </w:tabs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определении стоимости НИР/НИОКР, затраты организации, расположенной в </w:t>
      </w:r>
      <w:r>
        <w:rPr>
          <w:rFonts w:cs="Times New Roman" w:ascii="Times New Roman" w:hAnsi="Times New Roman"/>
          <w:sz w:val="24"/>
          <w:szCs w:val="24"/>
        </w:rPr>
        <w:t>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местностям,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№ 9-10-17/40, дополнительно учитываются путем введения к итогу базовой цены повышающих коэффициентов. Указывать размер примененных коэффициентов, доплат и т.д. с обоснованиями из технической части, вводных указаний сборников или других нормативных документов.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180" w:leader="none"/>
          <w:tab w:val="left" w:pos="284" w:leader="none"/>
          <w:tab w:val="left" w:pos="993" w:leader="none"/>
          <w:tab w:val="left" w:pos="1134" w:leader="none"/>
        </w:tabs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Стоимость НИР/НИОКР, цены на которые отсутствуют в СБЦ, СЦ и других нормативных сборниках, внесенных в ФРСН, определять сметным расчетом по себестоимости и уровню рентабельности (форма №3п) по согласованию с Заказчиком.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180" w:leader="none"/>
          <w:tab w:val="left" w:pos="993" w:leader="none"/>
          <w:tab w:val="left" w:pos="1134" w:leader="none"/>
        </w:tabs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Средства на выполнение НИР/НИОКР определяются отдельными расчетами в </w:t>
      </w:r>
    </w:p>
    <w:p>
      <w:pPr>
        <w:pStyle w:val="ConsPlusNormal1"/>
        <w:widowControl/>
        <w:tabs>
          <w:tab w:val="clear" w:pos="709"/>
          <w:tab w:val="left" w:pos="180" w:leader="none"/>
          <w:tab w:val="left" w:pos="993" w:leader="none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соответствии с видом выполняемых работ и включаются (по необходимости) в сводную смету (Приложение №3).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180" w:leader="none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  <w:highlight w:val="lightGray"/>
        </w:rPr>
      </w:pPr>
      <w:r>
        <w:rPr>
          <w:rFonts w:ascii="Times New Roman" w:hAnsi="Times New Roman"/>
          <w:sz w:val="24"/>
          <w:szCs w:val="24"/>
          <w:highlight w:val="green"/>
        </w:rPr>
        <w:t>При составлении сметной документации на подготовку проектной документации рекомендуется дополнить Технические требования пунктом о составлении проектной организацией Ведомости объемов конструктивных решений (элементов) и комплексов (видов) работ, оборудования</w:t>
      </w:r>
      <w:r>
        <w:rPr>
          <w:rFonts w:ascii="Times New Roman" w:hAnsi="Times New Roman"/>
          <w:sz w:val="24"/>
          <w:szCs w:val="24"/>
          <w:highlight w:val="lightGray"/>
        </w:rPr>
        <w:t>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180" w:leader="none"/>
          <w:tab w:val="left" w:pos="1134" w:leader="none"/>
        </w:tabs>
        <w:spacing w:before="40" w:after="40"/>
        <w:ind w:firstLine="567" w:left="0"/>
        <w:jc w:val="both"/>
        <w:rPr>
          <w:rFonts w:ascii="Times New Roman" w:hAnsi="Times New Roman" w:cs="Times New Roman"/>
          <w:b/>
          <w:color w:val="FF0000"/>
          <w:sz w:val="24"/>
          <w:szCs w:val="24"/>
          <w:highlight w:val="green"/>
        </w:rPr>
      </w:pPr>
      <w:r>
        <w:rPr>
          <w:rFonts w:cs="Times New Roman" w:ascii="Times New Roman" w:hAnsi="Times New Roman"/>
          <w:sz w:val="24"/>
          <w:szCs w:val="24"/>
          <w:highlight w:val="green"/>
        </w:rPr>
        <w:t xml:space="preserve">В сметных расчетах допускается использовать прогнозные индексы-дефляторы в соответствии с текущим прогнозом Министерства экономического развития РФ по строке ИПЦ (индекс потребительских цен), в среднем за год, вариант – базовый (указать реквизиты приказа при формировании ТТ) в размере … (указать размер применяемых индексов-дефляторов). </w:t>
      </w:r>
    </w:p>
    <w:p>
      <w:pPr>
        <w:pStyle w:val="ConsPlusNormal1"/>
        <w:widowControl/>
        <w:tabs>
          <w:tab w:val="clear" w:pos="709"/>
          <w:tab w:val="left" w:pos="180" w:leader="none"/>
          <w:tab w:val="left" w:pos="1134" w:leader="none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>
        <w:rPr>
          <w:rFonts w:cs="Times New Roman" w:ascii="Times New Roman" w:hAnsi="Times New Roman"/>
          <w:sz w:val="24"/>
          <w:szCs w:val="24"/>
          <w:highlight w:val="green"/>
        </w:rPr>
        <w:t xml:space="preserve">Стоимость работ определяется по формуле: </w:t>
      </w:r>
    </w:p>
    <w:p>
      <w:pPr>
        <w:pStyle w:val="ConsPlusNormal1"/>
        <w:tabs>
          <w:tab w:val="clear" w:pos="709"/>
          <w:tab w:val="left" w:pos="180" w:leader="none"/>
          <w:tab w:val="left" w:pos="1134" w:leader="none"/>
        </w:tabs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highlight w:val="green"/>
        </w:rPr>
      </w:pPr>
      <w:r>
        <w:rPr>
          <w:rFonts w:cs="Times New Roman" w:ascii="Times New Roman" w:hAnsi="Times New Roman"/>
          <w:color w:val="000000"/>
          <w:sz w:val="24"/>
          <w:szCs w:val="24"/>
          <w:highlight w:val="green"/>
        </w:rPr>
        <w:t xml:space="preserve">  </w:t>
      </w: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Цд</m:t>
        </m:r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С</m:t>
        </m:r>
        <m:r>
          <w:rPr>
            <w:rFonts w:ascii="Cambria Math" w:hAnsi="Cambria Math"/>
          </w:rPr>
          <m:t xml:space="preserve">∗</m:t>
        </m:r>
        <m:r>
          <w:rPr>
            <w:rFonts w:ascii="Cambria Math" w:hAnsi="Cambria Math"/>
          </w:rPr>
          <m:t xml:space="preserve">Иинфл</m:t>
        </m:r>
        <m:d>
          <m:dPr>
            <m:begChr m:val="("/>
            <m:endChr m:val=")"/>
          </m:dPr>
          <m:e>
            <m:r>
              <w:rPr>
                <w:rFonts w:ascii="Cambria Math" w:hAnsi="Cambria Math"/>
              </w:rPr>
              <m:t xml:space="preserve">1</m:t>
            </m:r>
          </m:e>
        </m:d>
      </m:oMath>
    </w:p>
    <w:p>
      <w:pPr>
        <w:pStyle w:val="ConsPlusNormal1"/>
        <w:widowControl/>
        <w:tabs>
          <w:tab w:val="clear" w:pos="709"/>
          <w:tab w:val="left" w:pos="180" w:leader="none"/>
          <w:tab w:val="left" w:pos="1134" w:leader="none"/>
        </w:tabs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highlight w:val="green"/>
        </w:rPr>
      </w:pPr>
      <w:r>
        <w:rPr>
          <w:rFonts w:cs="Times New Roman" w:ascii="Times New Roman" w:hAnsi="Times New Roman"/>
          <w:color w:val="000000"/>
          <w:sz w:val="24"/>
          <w:szCs w:val="24"/>
          <w:highlight w:val="green"/>
        </w:rPr>
        <w:t>где</w:t>
      </w:r>
    </w:p>
    <w:p>
      <w:pPr>
        <w:pStyle w:val="ConsPlusNormal1"/>
        <w:widowControl/>
        <w:tabs>
          <w:tab w:val="clear" w:pos="709"/>
          <w:tab w:val="left" w:pos="180" w:leader="none"/>
          <w:tab w:val="left" w:pos="1134" w:leader="none"/>
        </w:tabs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highlight w:val="green"/>
        </w:rPr>
      </w:pPr>
      <w:r>
        <w:rPr>
          <w:rFonts w:cs="Times New Roman" w:ascii="Times New Roman" w:hAnsi="Times New Roman"/>
          <w:color w:val="000000"/>
          <w:sz w:val="24"/>
          <w:szCs w:val="24"/>
          <w:highlight w:val="green"/>
        </w:rPr>
        <w:t>Цд – стоимость договора;</w:t>
      </w:r>
    </w:p>
    <w:p>
      <w:pPr>
        <w:pStyle w:val="ConsPlusNormal1"/>
        <w:widowControl/>
        <w:tabs>
          <w:tab w:val="clear" w:pos="709"/>
          <w:tab w:val="left" w:pos="180" w:leader="none"/>
          <w:tab w:val="left" w:pos="1134" w:leader="none"/>
        </w:tabs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highlight w:val="green"/>
        </w:rPr>
      </w:pPr>
      <w:r>
        <w:rPr>
          <w:rFonts w:cs="Times New Roman" w:ascii="Times New Roman" w:hAnsi="Times New Roman"/>
          <w:color w:val="000000"/>
          <w:sz w:val="24"/>
          <w:szCs w:val="24"/>
          <w:highlight w:val="green"/>
        </w:rPr>
        <w:t xml:space="preserve">С - сметная стоимость подрядных работ, подлежащих выполнению подрядчиком; </w:t>
      </w:r>
    </w:p>
    <w:p>
      <w:pPr>
        <w:pStyle w:val="ConsPlusNormal1"/>
        <w:widowControl/>
        <w:tabs>
          <w:tab w:val="clear" w:pos="709"/>
          <w:tab w:val="left" w:pos="180" w:leader="none"/>
          <w:tab w:val="left" w:pos="1134" w:leader="none"/>
        </w:tabs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highlight w:val="green"/>
        </w:rPr>
      </w:pPr>
      <w:r>
        <w:rPr>
          <w:rFonts w:cs="Times New Roman" w:ascii="Times New Roman" w:hAnsi="Times New Roman"/>
          <w:color w:val="000000"/>
          <w:sz w:val="24"/>
          <w:szCs w:val="24"/>
          <w:highlight w:val="green"/>
        </w:rPr>
        <w:t>Иинф – индекс инфляции, рассчитываемый как среднее арифметическое значение между индексами прогнозной инфляции на даты начала и окончания работ. При расчете индекса прогнозной инфляции определение периода выполнения работ осуществляется исходя из продолжительности, установленной заказчиком в задании на выполнение проектных и изыскательских работ.</w:t>
      </w:r>
    </w:p>
    <w:p>
      <w:pPr>
        <w:pStyle w:val="ConsPlusNormal1"/>
        <w:tabs>
          <w:tab w:val="clear" w:pos="709"/>
          <w:tab w:val="left" w:pos="180" w:leader="none"/>
          <w:tab w:val="left" w:pos="1134" w:leader="none"/>
        </w:tabs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highlight w:val="green"/>
        </w:rPr>
      </w:pPr>
      <w:r>
        <w:rPr>
          <w:rFonts w:cs="Times New Roman" w:ascii="Times New Roman" w:hAnsi="Times New Roman"/>
          <w:color w:val="000000"/>
          <w:sz w:val="24"/>
          <w:szCs w:val="24"/>
          <w:highlight w:val="green"/>
        </w:rPr>
      </w:r>
    </w:p>
    <w:p>
      <w:pPr>
        <w:pStyle w:val="ConsPlusNormal1"/>
        <w:tabs>
          <w:tab w:val="clear" w:pos="709"/>
          <w:tab w:val="left" w:pos="180" w:leader="none"/>
          <w:tab w:val="left" w:pos="1134" w:leader="none"/>
        </w:tabs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highlight w:val="green"/>
        </w:rPr>
      </w:pPr>
      <w:r>
        <w:rPr>
          <w:rFonts w:cs="Times New Roman" w:ascii="Times New Roman" w:hAnsi="Times New Roman"/>
          <w:color w:val="000000"/>
          <w:sz w:val="24"/>
          <w:szCs w:val="24"/>
          <w:highlight w:val="green"/>
        </w:rPr>
        <w:t xml:space="preserve">В случае, если срок выполнения работ превышает календарный год, то индекс инфляции определяется по формуле: </w:t>
      </w:r>
    </w:p>
    <w:p>
      <w:pPr>
        <w:pStyle w:val="ConsPlusNormal1"/>
        <w:widowControl/>
        <w:tabs>
          <w:tab w:val="clear" w:pos="709"/>
          <w:tab w:val="left" w:pos="180" w:leader="none"/>
          <w:tab w:val="left" w:pos="1134" w:leader="none"/>
        </w:tabs>
        <w:spacing w:before="40" w:after="40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  <w:highlight w:val="green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r>
            <w:rPr>
              <w:rFonts w:ascii="Cambria Math" w:hAnsi="Cambria Math"/>
            </w:rPr>
            <m:t xml:space="preserve">И</m:t>
          </m:r>
          <m:r>
            <w:rPr>
              <w:rFonts w:ascii="Cambria Math" w:hAnsi="Cambria Math"/>
            </w:rPr>
            <m:t xml:space="preserve">инф</m:t>
          </m:r>
          <m:r>
            <w:rPr>
              <w:rFonts w:ascii="Cambria Math" w:hAnsi="Cambria Math"/>
            </w:rPr>
            <m:t xml:space="preserve">=</m:t>
          </m:r>
          <m:r>
            <w:rPr>
              <w:rFonts w:ascii="Cambria Math" w:hAnsi="Cambria Math"/>
            </w:rPr>
            <m:t xml:space="preserve">Д</m:t>
          </m:r>
          <m:r>
            <w:rPr>
              <w:rFonts w:ascii="Cambria Math" w:hAnsi="Cambria Math"/>
            </w:rPr>
            <m:t xml:space="preserve">1</m:t>
          </m:r>
          <m:r>
            <w:rPr>
              <w:rFonts w:ascii="Cambria Math" w:hAnsi="Cambria Math"/>
            </w:rPr>
            <m:t xml:space="preserve">∗</m:t>
          </m:r>
          <m:r>
            <w:rPr>
              <w:rFonts w:ascii="Cambria Math" w:hAnsi="Cambria Math"/>
            </w:rPr>
            <m:t xml:space="preserve">К</m:t>
          </m:r>
          <m:r>
            <w:rPr>
              <w:rFonts w:ascii="Cambria Math" w:hAnsi="Cambria Math"/>
            </w:rPr>
            <m:t xml:space="preserve">1</m:t>
          </m:r>
          <m:r>
            <w:rPr>
              <w:rFonts w:ascii="Cambria Math" w:hAnsi="Cambria Math"/>
            </w:rPr>
            <m:t xml:space="preserve">+</m:t>
          </m:r>
          <m:r>
            <w:rPr>
              <w:rFonts w:ascii="Cambria Math" w:hAnsi="Cambria Math"/>
            </w:rPr>
            <m:t xml:space="preserve">Д</m:t>
          </m:r>
          <m:r>
            <w:rPr>
              <w:rFonts w:ascii="Cambria Math" w:hAnsi="Cambria Math"/>
            </w:rPr>
            <m:t xml:space="preserve">2</m:t>
          </m:r>
          <m:r>
            <w:rPr>
              <w:rFonts w:ascii="Cambria Math" w:hAnsi="Cambria Math"/>
            </w:rPr>
            <m:t xml:space="preserve">∗</m:t>
          </m:r>
          <m:r>
            <w:rPr>
              <w:rFonts w:ascii="Cambria Math" w:hAnsi="Cambria Math"/>
            </w:rPr>
            <m:t xml:space="preserve">К</m:t>
          </m:r>
          <m:r>
            <w:rPr>
              <w:rFonts w:ascii="Cambria Math" w:hAnsi="Cambria Math"/>
            </w:rPr>
            <m:t xml:space="preserve">2</m:t>
          </m:r>
          <m:r>
            <w:rPr>
              <w:rFonts w:ascii="Cambria Math" w:hAnsi="Cambria Math"/>
            </w:rPr>
            <m:t xml:space="preserve">+</m:t>
          </m:r>
          <m:r>
            <w:rPr>
              <w:rFonts w:ascii="Cambria Math" w:hAnsi="Cambria Math"/>
            </w:rPr>
            <m:t xml:space="preserve">...</m:t>
          </m:r>
          <m:r>
            <w:rPr>
              <w:rFonts w:ascii="Cambria Math" w:hAnsi="Cambria Math"/>
            </w:rPr>
            <m:t xml:space="preserve">+</m:t>
          </m:r>
          <m:r>
            <w:rPr>
              <w:rFonts w:ascii="Cambria Math" w:hAnsi="Cambria Math"/>
            </w:rPr>
            <m:t xml:space="preserve">Д</m:t>
          </m:r>
          <m:r>
            <w:rPr>
              <w:rFonts w:ascii="Cambria Math" w:hAnsi="Cambria Math"/>
            </w:rPr>
            <m:t xml:space="preserve">i</m:t>
          </m:r>
          <m:r>
            <w:rPr>
              <w:rFonts w:ascii="Cambria Math" w:hAnsi="Cambria Math"/>
            </w:rPr>
            <m:t xml:space="preserve">∗</m:t>
          </m:r>
          <m:r>
            <w:rPr>
              <w:rFonts w:ascii="Cambria Math" w:hAnsi="Cambria Math"/>
            </w:rPr>
            <m:t xml:space="preserve">К</m:t>
          </m:r>
          <m:r>
            <w:rPr>
              <w:rFonts w:ascii="Cambria Math" w:hAnsi="Cambria Math"/>
            </w:rPr>
            <m:t xml:space="preserve">i</m:t>
          </m:r>
          <m:d>
            <m:dPr>
              <m:begChr m:val="("/>
              <m:endChr m:val=")"/>
            </m:dPr>
            <m:e>
              <m:r>
                <w:rPr>
                  <w:rFonts w:ascii="Cambria Math" w:hAnsi="Cambria Math"/>
                </w:rPr>
                <m:t xml:space="preserve">2</m:t>
              </m:r>
            </m:e>
          </m:d>
        </m:oMath>
      </m:oMathPara>
    </w:p>
    <w:p>
      <w:pPr>
        <w:pStyle w:val="ConsPlusNormal1"/>
        <w:widowControl/>
        <w:tabs>
          <w:tab w:val="clear" w:pos="709"/>
          <w:tab w:val="left" w:pos="180" w:leader="none"/>
          <w:tab w:val="left" w:pos="1134" w:leader="none"/>
        </w:tabs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highlight w:val="green"/>
        </w:rPr>
      </w:pPr>
      <w:r>
        <w:rPr>
          <w:rFonts w:cs="Times New Roman" w:ascii="Times New Roman" w:hAnsi="Times New Roman"/>
          <w:color w:val="000000"/>
          <w:sz w:val="24"/>
          <w:szCs w:val="24"/>
          <w:highlight w:val="green"/>
        </w:rPr>
        <w:t>где</w:t>
      </w:r>
    </w:p>
    <w:p>
      <w:pPr>
        <w:pStyle w:val="Dt-p"/>
        <w:shd w:val="clear" w:color="auto" w:fill="FFFFFF"/>
        <w:tabs>
          <w:tab w:val="clear" w:pos="709"/>
          <w:tab w:val="left" w:pos="180" w:leader="none"/>
          <w:tab w:val="left" w:pos="1134" w:leader="none"/>
        </w:tabs>
        <w:spacing w:beforeAutospacing="0" w:before="0" w:afterAutospacing="0" w:after="0"/>
        <w:ind w:firstLine="567"/>
        <w:jc w:val="both"/>
        <w:textAlignment w:val="baseline"/>
        <w:rPr>
          <w:color w:val="000000"/>
          <w:highlight w:val="green"/>
        </w:rPr>
      </w:pPr>
      <w:r>
        <w:rPr>
          <w:color w:val="000000"/>
          <w:highlight w:val="green"/>
        </w:rPr>
        <w:t>Д1,Д2,Д</w:t>
      </w:r>
      <w:r>
        <w:rPr>
          <w:color w:val="000000"/>
          <w:highlight w:val="green"/>
          <w:lang w:val="en-US"/>
        </w:rPr>
        <w:t>i</w:t>
      </w:r>
      <w:r>
        <w:rPr>
          <w:color w:val="000000"/>
          <w:highlight w:val="green"/>
        </w:rPr>
        <w:t xml:space="preserve"> - доля сметной стоимости работ, подлежащих выполнению соответственно в 1-й, 2-й, 3-й, i-ый годы строительства;</w:t>
      </w:r>
    </w:p>
    <w:p>
      <w:pPr>
        <w:pStyle w:val="Dt-p"/>
        <w:shd w:val="clear" w:color="auto" w:fill="FFFFFF"/>
        <w:tabs>
          <w:tab w:val="clear" w:pos="709"/>
          <w:tab w:val="left" w:pos="180" w:leader="none"/>
          <w:tab w:val="left" w:pos="1134" w:leader="none"/>
        </w:tabs>
        <w:spacing w:beforeAutospacing="0" w:before="0" w:afterAutospacing="0" w:after="0"/>
        <w:ind w:firstLine="567"/>
        <w:jc w:val="both"/>
        <w:textAlignment w:val="baseline"/>
        <w:rPr>
          <w:color w:val="000000"/>
          <w:highlight w:val="green"/>
        </w:rPr>
      </w:pPr>
      <w:r>
        <w:rPr>
          <w:color w:val="000000"/>
          <w:highlight w:val="green"/>
        </w:rPr>
        <w:t>i - год завершения строительства объекта;</w:t>
      </w:r>
    </w:p>
    <w:p>
      <w:pPr>
        <w:pStyle w:val="Dt-p"/>
        <w:shd w:val="clear" w:color="auto" w:fill="FFFFFF"/>
        <w:tabs>
          <w:tab w:val="clear" w:pos="709"/>
          <w:tab w:val="left" w:pos="180" w:leader="none"/>
          <w:tab w:val="left" w:pos="1134" w:leader="none"/>
        </w:tabs>
        <w:spacing w:beforeAutospacing="0" w:before="0" w:afterAutospacing="0" w:after="0"/>
        <w:ind w:firstLine="567"/>
        <w:jc w:val="both"/>
        <w:textAlignment w:val="baseline"/>
        <w:rPr>
          <w:color w:val="000000"/>
          <w:highlight w:val="green"/>
        </w:rPr>
      </w:pPr>
      <w:r>
        <w:rPr>
          <w:color w:val="000000"/>
          <w:highlight w:val="green"/>
        </w:rPr>
        <w:t>К1 - индекс прогнозной инфляции за первый год строительства объекта, определяемый как среднее арифметическое между индексом прогнозной инфляции на дату начала строительства объекта и индексом прогнозной инфляции на декабрь первого года строительства объекта;</w:t>
      </w:r>
    </w:p>
    <w:p>
      <w:pPr>
        <w:pStyle w:val="Dt-p"/>
        <w:shd w:val="clear" w:color="auto" w:fill="FFFFFF"/>
        <w:tabs>
          <w:tab w:val="clear" w:pos="709"/>
          <w:tab w:val="left" w:pos="180" w:leader="none"/>
          <w:tab w:val="left" w:pos="1134" w:leader="none"/>
        </w:tabs>
        <w:spacing w:beforeAutospacing="0" w:before="0" w:afterAutospacing="0" w:after="0"/>
        <w:ind w:firstLine="567"/>
        <w:jc w:val="both"/>
        <w:textAlignment w:val="baseline"/>
        <w:rPr>
          <w:color w:val="000000"/>
          <w:highlight w:val="green"/>
        </w:rPr>
      </w:pPr>
      <w:r>
        <w:rPr>
          <w:color w:val="000000"/>
          <w:highlight w:val="green"/>
        </w:rPr>
        <w:t>К2 - индекс прогнозной инфляции, учитывающий инфляцию за первый и второй годы строительства объекта. Рассчитывается как произведение индекса прогнозной инфляции, устанавливаемого нарастающим итогом на декабрь первого года строительства объекта, и индекса прогнозной инфляции на второй год строительства объекта, определенного как среднее арифметическое между индексом прогнозной инфляции на январь второго года строительства объекта и индекса прогнозной инфляции на декабрь второго года строительства объекта;</w:t>
      </w:r>
    </w:p>
    <w:p>
      <w:pPr>
        <w:pStyle w:val="ConsPlusNormal1"/>
        <w:tabs>
          <w:tab w:val="clear" w:pos="709"/>
          <w:tab w:val="left" w:pos="180" w:leader="none"/>
          <w:tab w:val="left" w:pos="1134" w:leader="none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  <w:highlight w:val="green"/>
        </w:rPr>
        <w:t>К3 - индекс прогнозной инфляции, учитывающий инфляцию за весь период строительства объекта. Указанный индекс рассчитывается как произведение индекса прогнозной инфляции, устанавливаемого нарастающим итогом на декабрь предшествующего года строительства объекта, и индекса прогнозной инфляции на последний год строительства объекта, определенного как среднее арифметическое между индексом прогнозной инфляции на январь последнего года строительства объекта и индексом прогнозной инфляции на дату окончания строительства объекта в последнем году.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ConsPlusNormal1"/>
        <w:tabs>
          <w:tab w:val="clear" w:pos="709"/>
          <w:tab w:val="left" w:pos="180" w:leader="none"/>
          <w:tab w:val="left" w:pos="1134" w:leader="none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highlight w:val="green"/>
        </w:rPr>
        <w:t xml:space="preserve"> </w:t>
      </w:r>
      <w:r>
        <w:rPr>
          <w:rFonts w:cs="Times New Roman" w:ascii="Times New Roman" w:hAnsi="Times New Roman"/>
          <w:sz w:val="24"/>
          <w:szCs w:val="24"/>
          <w:highlight w:val="green"/>
        </w:rPr>
        <w:t>При этом:</w:t>
      </w:r>
    </w:p>
    <w:p>
      <w:pPr>
        <w:pStyle w:val="ConsPlusNormal1"/>
        <w:tabs>
          <w:tab w:val="clear" w:pos="709"/>
          <w:tab w:val="left" w:pos="180" w:leader="none"/>
          <w:tab w:val="left" w:pos="1134" w:leader="none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>
        <w:rPr>
          <w:rFonts w:cs="Times New Roman" w:ascii="Times New Roman" w:hAnsi="Times New Roman"/>
          <w:sz w:val="24"/>
          <w:szCs w:val="24"/>
          <w:highlight w:val="green"/>
        </w:rPr>
        <w:t>1) если срок выполнения работ указан в целом по договору (дата начала работ – дата окончание работ), применяется единый дефлятор, в соответствии с формулой (1)</w:t>
      </w:r>
    </w:p>
    <w:p>
      <w:pPr>
        <w:pStyle w:val="ConsPlusNormal1"/>
        <w:tabs>
          <w:tab w:val="clear" w:pos="709"/>
          <w:tab w:val="left" w:pos="180" w:leader="none"/>
          <w:tab w:val="left" w:pos="1134" w:leader="none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highlight w:val="green"/>
        </w:rPr>
        <w:t>2) если договором предусмотрен график выполнения работ с разбивкой на этапы (дата начала работ по этапу – дата окончания работ по этапу), дефлятор применяется в соответствии с таким графиком, и рассчитывается на каждый этап, в соответствии с формулой (2).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180" w:leader="none"/>
          <w:tab w:val="left" w:pos="568" w:leader="none"/>
          <w:tab w:val="left" w:pos="1134" w:leader="none"/>
        </w:tabs>
        <w:ind w:firstLine="567"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случае заключений дополнительных соглашений к договору (далее - д/с), сводную смету необходимо выполнять в накопительной форме с учетом </w:t>
      </w:r>
      <w:r>
        <w:rPr>
          <w:rFonts w:cs="Times New Roman" w:ascii="Times New Roman" w:hAnsi="Times New Roman"/>
          <w:color w:val="000000"/>
          <w:sz w:val="24"/>
          <w:szCs w:val="24"/>
        </w:rPr>
        <w:t>ЛСР (</w:t>
      </w:r>
      <w:r>
        <w:rPr>
          <w:rFonts w:ascii="Times New Roman" w:hAnsi="Times New Roman"/>
          <w:color w:val="000000"/>
          <w:sz w:val="24"/>
          <w:szCs w:val="24"/>
        </w:rPr>
        <w:t xml:space="preserve">ЛС) к основному договору и ко всем заключенным д/с к нему. В итогах сводной сметы в накопительной форме(справочно)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сводной сметы в накопительной форме очередного д/с и стоимостью основного договора. Форма сводной сметы в накопительной </w:t>
      </w:r>
      <w:r>
        <w:rPr>
          <w:rFonts w:cs="Times New Roman" w:ascii="Times New Roman" w:hAnsi="Times New Roman"/>
          <w:sz w:val="24"/>
          <w:szCs w:val="24"/>
        </w:rPr>
        <w:t>(образец приложение № 3.1)</w:t>
      </w:r>
      <w:r>
        <w:rPr>
          <w:rFonts w:ascii="Times New Roman" w:hAnsi="Times New Roman"/>
          <w:color w:val="000000"/>
          <w:sz w:val="24"/>
          <w:szCs w:val="24"/>
        </w:rPr>
        <w:t xml:space="preserve"> ЛСР (ЛС) разрабатываются отдельно на исключаемые и дополнительные объемы работ. </w:t>
      </w:r>
    </w:p>
    <w:p>
      <w:pPr>
        <w:pStyle w:val="ConsPlusNormal1"/>
        <w:widowControl/>
        <w:tabs>
          <w:tab w:val="clear" w:pos="709"/>
          <w:tab w:val="left" w:pos="180" w:leader="none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ЛС являются приложениями к сводной смете в накопительной форме. Нумерация приложений указывается по мере включения ЛС в Сводную смету в накопительной форме - по порядку.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180" w:leader="none"/>
          <w:tab w:val="left" w:pos="993" w:leader="none"/>
          <w:tab w:val="left" w:pos="1134" w:leader="none"/>
        </w:tabs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Результаты вычислений (построчные) и итоговые данные округляются</w:t>
      </w:r>
      <w:r>
        <w:rPr>
          <w:rFonts w:ascii="Times New Roman" w:hAnsi="Times New Roman"/>
          <w:sz w:val="24"/>
          <w:szCs w:val="24"/>
        </w:rPr>
        <w:t xml:space="preserve"> до целых рублей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ListParagraph"/>
        <w:numPr>
          <w:ilvl w:val="0"/>
          <w:numId w:val="22"/>
        </w:numPr>
        <w:tabs>
          <w:tab w:val="clear" w:pos="709"/>
          <w:tab w:val="left" w:pos="180" w:leader="none"/>
          <w:tab w:val="left" w:pos="993" w:leader="none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графа 5 «Стоимость» (образец 2П приложения 2);</w:t>
      </w:r>
      <w:r>
        <w:rPr>
          <w:sz w:val="24"/>
          <w:szCs w:val="24"/>
        </w:rPr>
        <w:t xml:space="preserve"> </w:t>
      </w:r>
    </w:p>
    <w:p>
      <w:pPr>
        <w:pStyle w:val="ListParagraph"/>
        <w:numPr>
          <w:ilvl w:val="0"/>
          <w:numId w:val="22"/>
        </w:numPr>
        <w:tabs>
          <w:tab w:val="clear" w:pos="709"/>
          <w:tab w:val="left" w:pos="180" w:leader="none"/>
          <w:tab w:val="left" w:pos="993" w:leader="none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графа 7 «Оплата труда (всего)» (образец 3П приложения 2).</w:t>
      </w:r>
    </w:p>
    <w:p>
      <w:pPr>
        <w:pStyle w:val="ConsPlusNormal1"/>
        <w:tabs>
          <w:tab w:val="clear" w:pos="709"/>
          <w:tab w:val="left" w:pos="180" w:leader="none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Результаты вычислений (построчные) и итоговые данные в локальных сметных расчетах, (сметах), приводятся в рублях,</w:t>
      </w:r>
    </w:p>
    <w:p>
      <w:pPr>
        <w:pStyle w:val="ConsPlusNormal1"/>
        <w:tabs>
          <w:tab w:val="clear" w:pos="709"/>
          <w:tab w:val="left" w:pos="180" w:leader="none"/>
          <w:tab w:val="left" w:pos="567" w:leader="none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-при базисно-индексном методе, с округлением до целых рублей;</w:t>
      </w:r>
    </w:p>
    <w:p>
      <w:pPr>
        <w:pStyle w:val="ConsPlusNormal1"/>
        <w:tabs>
          <w:tab w:val="clear" w:pos="709"/>
          <w:tab w:val="left" w:pos="180" w:leader="none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-при ресурсно-индексном и ресурсным методах, а также сметных расчетах на отдельные виды затрат - с округлением до целых единиц;</w:t>
      </w:r>
    </w:p>
    <w:p>
      <w:pPr>
        <w:pStyle w:val="ListParagraph"/>
        <w:tabs>
          <w:tab w:val="clear" w:pos="709"/>
          <w:tab w:val="left" w:pos="180" w:leader="none"/>
          <w:tab w:val="left" w:pos="993" w:leader="none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сводной смете - в рублях с округлением до двух знаков после запятой.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180" w:leader="none"/>
          <w:tab w:val="left" w:pos="851" w:leader="none"/>
          <w:tab w:val="left" w:pos="1134" w:leader="none"/>
        </w:tabs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Сметы предоставляются в 2-х вариантах: бумажном и электронном (в формате «</w:t>
      </w:r>
      <w:r>
        <w:rPr>
          <w:rFonts w:cs="Times New Roman" w:ascii="Times New Roman" w:hAnsi="Times New Roman"/>
          <w:sz w:val="24"/>
          <w:szCs w:val="24"/>
          <w:lang w:val="en-US"/>
        </w:rPr>
        <w:t>Excel</w:t>
      </w:r>
      <w:r>
        <w:rPr>
          <w:rFonts w:cs="Times New Roman" w:ascii="Times New Roman" w:hAnsi="Times New Roman"/>
          <w:sz w:val="24"/>
          <w:szCs w:val="24"/>
        </w:rPr>
        <w:t>»).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180" w:leader="none"/>
          <w:tab w:val="left" w:pos="851" w:leader="none"/>
          <w:tab w:val="left" w:pos="1134" w:leader="none"/>
        </w:tabs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При необходимости учета командировочных расходов в сметной документации составляется расчет. Размер суточных командировочных расходов определить в соответствии с действующим законодательством РФ и с учетом норм, определяемых внутренним документом организации. </w:t>
      </w:r>
    </w:p>
    <w:p>
      <w:pPr>
        <w:pStyle w:val="ConsPlusNormal1"/>
        <w:numPr>
          <w:ilvl w:val="0"/>
          <w:numId w:val="3"/>
        </w:numPr>
        <w:tabs>
          <w:tab w:val="clear" w:pos="709"/>
          <w:tab w:val="left" w:pos="180" w:leader="none"/>
          <w:tab w:val="left" w:pos="851" w:leader="none"/>
          <w:tab w:val="left" w:pos="1134" w:leader="none"/>
        </w:tabs>
        <w:ind w:firstLine="567" w:left="0"/>
        <w:jc w:val="both"/>
        <w:rPr>
          <w:rFonts w:ascii="Times New Roman" w:hAnsi="Times New Roman" w:eastAsia="Geneva" w:cs="" w:cstheme="minorBidi"/>
          <w:sz w:val="24"/>
          <w:szCs w:val="24"/>
          <w:highlight w:val="green"/>
          <w:lang w:eastAsia="en-US"/>
        </w:rPr>
      </w:pPr>
      <w:r>
        <w:rPr>
          <w:rFonts w:eastAsia="Geneva" w:cs="" w:ascii="Times New Roman" w:hAnsi="Times New Roman" w:cstheme="minorBidi"/>
          <w:sz w:val="24"/>
          <w:szCs w:val="24"/>
          <w:highlight w:val="green"/>
          <w:lang w:eastAsia="en-US"/>
        </w:rPr>
        <w:t xml:space="preserve">Лимиты командировочных расходов при производстве НИР/НИОКР по статьям затрат следующие </w:t>
      </w:r>
      <w:r>
        <w:rPr>
          <w:rFonts w:cs="Times New Roman" w:ascii="Times New Roman" w:hAnsi="Times New Roman"/>
          <w:color w:val="000000"/>
          <w:sz w:val="24"/>
          <w:szCs w:val="24"/>
          <w:highlight w:val="green"/>
          <w:u w:val="single"/>
        </w:rPr>
        <w:t>не более</w:t>
      </w:r>
      <w:r>
        <w:rPr>
          <w:rFonts w:eastAsia="Geneva" w:cs="" w:ascii="Times New Roman" w:hAnsi="Times New Roman" w:cstheme="minorBidi"/>
          <w:sz w:val="24"/>
          <w:szCs w:val="24"/>
          <w:highlight w:val="green"/>
          <w:lang w:eastAsia="en-US"/>
        </w:rPr>
        <w:t>:</w:t>
      </w:r>
    </w:p>
    <w:p>
      <w:pPr>
        <w:pStyle w:val="ListParagraph"/>
        <w:numPr>
          <w:ilvl w:val="0"/>
          <w:numId w:val="17"/>
        </w:numPr>
        <w:tabs>
          <w:tab w:val="clear" w:pos="709"/>
          <w:tab w:val="left" w:pos="180" w:leader="none"/>
          <w:tab w:val="left" w:pos="851" w:leader="none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 w:eastAsia="Geneva"/>
          <w:sz w:val="24"/>
          <w:szCs w:val="24"/>
          <w:highlight w:val="green"/>
        </w:rPr>
      </w:pPr>
      <w:r>
        <w:rPr>
          <w:rFonts w:eastAsia="Geneva" w:ascii="Times New Roman" w:hAnsi="Times New Roman"/>
          <w:sz w:val="24"/>
          <w:szCs w:val="24"/>
          <w:highlight w:val="green"/>
        </w:rPr>
        <w:t>суточные - 700 руб./сутки;</w:t>
      </w:r>
    </w:p>
    <w:p>
      <w:pPr>
        <w:pStyle w:val="ListParagraph"/>
        <w:numPr>
          <w:ilvl w:val="0"/>
          <w:numId w:val="17"/>
        </w:numPr>
        <w:tabs>
          <w:tab w:val="clear" w:pos="709"/>
          <w:tab w:val="left" w:pos="180" w:leader="none"/>
          <w:tab w:val="left" w:pos="851" w:leader="none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 w:eastAsia="Geneva"/>
          <w:sz w:val="24"/>
          <w:szCs w:val="24"/>
          <w:highlight w:val="green"/>
        </w:rPr>
      </w:pPr>
      <w:r>
        <w:rPr>
          <w:rFonts w:eastAsia="Geneva" w:ascii="Times New Roman" w:hAnsi="Times New Roman"/>
          <w:sz w:val="24"/>
          <w:szCs w:val="24"/>
          <w:highlight w:val="green"/>
        </w:rPr>
        <w:t>проживание – 5000 руб./сутки;</w:t>
      </w:r>
    </w:p>
    <w:p>
      <w:pPr>
        <w:pStyle w:val="ListParagraph"/>
        <w:numPr>
          <w:ilvl w:val="0"/>
          <w:numId w:val="17"/>
        </w:numPr>
        <w:tabs>
          <w:tab w:val="clear" w:pos="709"/>
          <w:tab w:val="left" w:pos="180" w:leader="none"/>
          <w:tab w:val="left" w:pos="851" w:leader="none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 w:eastAsia="Geneva"/>
          <w:sz w:val="24"/>
          <w:szCs w:val="24"/>
          <w:highlight w:val="green"/>
        </w:rPr>
      </w:pPr>
      <w:r>
        <w:rPr>
          <w:rFonts w:eastAsia="Geneva" w:ascii="Times New Roman" w:hAnsi="Times New Roman"/>
          <w:sz w:val="24"/>
          <w:szCs w:val="24"/>
          <w:highlight w:val="green"/>
        </w:rPr>
        <w:t>проезд: поезд (купе) или самолет (класс–эконом с багажом до 20 (двадцати) кг, ручная кладь до 10 (десяти) кг).</w:t>
      </w:r>
    </w:p>
    <w:p>
      <w:pPr>
        <w:pStyle w:val="ListParagraph"/>
        <w:tabs>
          <w:tab w:val="clear" w:pos="709"/>
          <w:tab w:val="left" w:pos="180" w:leader="none"/>
          <w:tab w:val="left" w:pos="851" w:leader="none"/>
          <w:tab w:val="left" w:pos="1134" w:leader="none"/>
        </w:tabs>
        <w:spacing w:before="0" w:after="0"/>
        <w:ind w:firstLine="567" w:left="0"/>
        <w:contextualSpacing/>
        <w:rPr>
          <w:rFonts w:ascii="Times New Roman" w:hAnsi="Times New Roman"/>
          <w:b/>
          <w:i/>
          <w:i/>
          <w:sz w:val="24"/>
          <w:szCs w:val="24"/>
        </w:rPr>
      </w:pPr>
      <w:r>
        <w:rPr>
          <w:rFonts w:ascii="Times New Roman" w:hAnsi="Times New Roman"/>
          <w:b/>
          <w:i/>
          <w:color w:val="FF0000"/>
          <w:sz w:val="24"/>
          <w:szCs w:val="24"/>
          <w:highlight w:val="green"/>
        </w:rPr>
        <w:t>Данные лимиты могут быть пересмотрены на этапе согласования технических требований</w:t>
      </w:r>
      <w:r>
        <w:rPr>
          <w:rFonts w:ascii="Times New Roman" w:hAnsi="Times New Roman"/>
          <w:color w:val="FF0000"/>
          <w:sz w:val="24"/>
          <w:szCs w:val="24"/>
          <w:highlight w:val="green"/>
        </w:rPr>
        <w:t>».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180" w:leader="none"/>
          <w:tab w:val="left" w:pos="851" w:leader="none"/>
          <w:tab w:val="left" w:pos="1134" w:leader="none"/>
        </w:tabs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случае учета строительно-монтажных работ в рамках исполнения работ при производстве НИР/НИОКР необходимо руководствоваться соответствующими требованиями к оформлению и составлению сметной документации при ремонте, реконструкции и техническом перевооружении.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180" w:leader="none"/>
          <w:tab w:val="left" w:pos="851" w:leader="none"/>
          <w:tab w:val="left" w:pos="1134" w:leader="none"/>
        </w:tabs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случае применения понижающего коэффициента к итогу смет или расчетов, корректирующего их стоимость в меньшую сторону, величину данного коэффициента необходимо учитывать с округлением до 3 знаков после запятой.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180" w:leader="none"/>
          <w:tab w:val="left" w:pos="851" w:leader="none"/>
          <w:tab w:val="left" w:pos="1134" w:leader="none"/>
        </w:tabs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Стоимость субподрядных работ (в случае наличия таковых) следует отразить отдельной строкой в Сводной смете (образец приложение № 3) с представлением соответствующих расчетов. 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180" w:leader="none"/>
          <w:tab w:val="left" w:pos="851" w:leader="none"/>
          <w:tab w:val="left" w:pos="1134" w:leader="none"/>
        </w:tabs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Стоимость материальных ресурсов и комплектующих, необходимых для создания опытных образцов, следует отразить отдельными строками в Сводной смете/.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180" w:leader="none"/>
          <w:tab w:val="left" w:pos="851" w:leader="none"/>
          <w:tab w:val="left" w:pos="1134" w:leader="none"/>
        </w:tabs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Стоимость строительно-монтажных работ, выполняемым в целях создания опытных образов и макетов, следует отразить отдельными строками в Сводной смете с представлением соответствующих расчетов (в случае наличия таковых).</w:t>
      </w:r>
    </w:p>
    <w:p>
      <w:pPr>
        <w:sectPr>
          <w:footerReference w:type="default" r:id="rId64"/>
          <w:footerReference w:type="first" r:id="rId65"/>
          <w:footnotePr>
            <w:numFmt w:val="decimal"/>
            <w:numRestart w:val="eachSect"/>
          </w:footnotePr>
          <w:type w:val="nextPage"/>
          <w:pgSz w:w="11906" w:h="16838"/>
          <w:pgMar w:left="1304" w:right="924" w:gutter="0" w:header="0" w:top="851" w:footer="709" w:bottom="766"/>
          <w:pgNumType w:fmt="decimal"/>
          <w:formProt w:val="false"/>
          <w:textDirection w:val="lrTb"/>
          <w:docGrid w:type="default" w:linePitch="360" w:charSpace="0"/>
        </w:sectPr>
        <w:pStyle w:val="ConsPlusNormal1"/>
        <w:widowControl/>
        <w:tabs>
          <w:tab w:val="clear" w:pos="709"/>
          <w:tab w:val="left" w:pos="180" w:leader="none"/>
          <w:tab w:val="left" w:pos="851" w:leader="none"/>
          <w:tab w:val="left" w:pos="1080" w:leader="none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widowControl/>
        <w:tabs>
          <w:tab w:val="clear" w:pos="709"/>
          <w:tab w:val="left" w:pos="1080" w:leader="none"/>
        </w:tabs>
        <w:ind w:hanging="0" w:left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ind w:left="567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 1</w:t>
      </w:r>
    </w:p>
    <w:p>
      <w:pPr>
        <w:pStyle w:val="Normal"/>
        <w:spacing w:lineRule="auto" w:line="240" w:before="0" w:after="0"/>
        <w:ind w:left="567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 или расчетов на выполнение услуг по программе НИР/НИОКР</w:t>
      </w:r>
    </w:p>
    <w:p>
      <w:pPr>
        <w:pStyle w:val="Normal"/>
        <w:spacing w:lineRule="auto" w:line="240" w:before="0" w:after="0"/>
        <w:ind w:left="567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ПОЯСНИТЕЛЬНАЯ ЗАПИСКА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заполнению формы №3п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при составлении смет на НИР/НИОКР.</w:t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9"/>
          <w:tab w:val="left" w:pos="1134" w:leader="none"/>
          <w:tab w:val="left" w:pos="5812" w:leader="none"/>
        </w:tabs>
        <w:spacing w:lineRule="auto" w:line="240" w:before="0" w:after="0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ListParagraph"/>
        <w:numPr>
          <w:ilvl w:val="0"/>
          <w:numId w:val="20"/>
        </w:numPr>
        <w:tabs>
          <w:tab w:val="clear" w:pos="709"/>
          <w:tab w:val="left" w:pos="1134" w:leader="none"/>
          <w:tab w:val="left" w:pos="5812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составлении калькуляции затрат (форма №3п), разработанным организацией, выполняющей НИР/НИОКР, </w:t>
      </w:r>
      <w:r>
        <w:rPr>
          <w:rFonts w:ascii="Times New Roman" w:hAnsi="Times New Roman"/>
          <w:color w:val="000000"/>
          <w:sz w:val="24"/>
          <w:szCs w:val="24"/>
        </w:rPr>
        <w:t>Заказчику предоставляется обоснование расчета. Сметные расчеты составляются в ценах текущего периода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ListParagraph"/>
        <w:numPr>
          <w:ilvl w:val="0"/>
          <w:numId w:val="20"/>
        </w:numPr>
        <w:tabs>
          <w:tab w:val="clear" w:pos="709"/>
          <w:tab w:val="left" w:pos="1134" w:leader="none"/>
          <w:tab w:val="left" w:pos="5812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Калькуляцией затрат (форма №3п) рекомендуется определять стоимость работ, цены на которые отсутствуют в МНЗ и СБЦ, внесенных в ФРСН </w:t>
      </w:r>
      <w:r>
        <w:rPr>
          <w:rFonts w:ascii="Times New Roman" w:hAnsi="Times New Roman"/>
          <w:sz w:val="24"/>
          <w:szCs w:val="24"/>
        </w:rPr>
        <w:t>и других нормативных сборниках, внесенных в ФРСН.</w:t>
      </w:r>
    </w:p>
    <w:p>
      <w:pPr>
        <w:pStyle w:val="ListParagraph"/>
        <w:numPr>
          <w:ilvl w:val="0"/>
          <w:numId w:val="20"/>
        </w:numPr>
        <w:tabs>
          <w:tab w:val="clear" w:pos="709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Стоимость работ и расходов в соответствии с калькуляцией затрат определяется согласно положениям Методики №707 с учетом следующего:</w:t>
      </w:r>
    </w:p>
    <w:p>
      <w:pPr>
        <w:pStyle w:val="ConsPlusNormal1"/>
        <w:numPr>
          <w:ilvl w:val="1"/>
          <w:numId w:val="30"/>
        </w:numPr>
        <w:tabs>
          <w:tab w:val="clear" w:pos="709"/>
          <w:tab w:val="left" w:pos="1134" w:leader="none"/>
        </w:tabs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Стоимость НИР/НИОКР (</w:t>
      </w: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Спр</m:t>
        </m:r>
      </m:oMath>
      <w:r>
        <w:rPr>
          <w:rFonts w:cs="Times New Roman" w:ascii="Times New Roman" w:hAnsi="Times New Roman"/>
          <w:sz w:val="24"/>
          <w:szCs w:val="24"/>
        </w:rPr>
        <w:t>) в соответствии с калькуляцией затрат определяется по формуле:</w:t>
      </w:r>
    </w:p>
    <w:p>
      <w:pPr>
        <w:pStyle w:val="ConsPlusNormal1"/>
        <w:tabs>
          <w:tab w:val="clear" w:pos="709"/>
          <w:tab w:val="left" w:pos="0" w:leader="none"/>
          <w:tab w:val="left" w:pos="1134" w:leader="none"/>
        </w:tabs>
        <w:ind w:firstLine="567"/>
        <w:jc w:val="center"/>
        <w:rPr>
          <w:rFonts w:ascii="Times New Roman" w:hAnsi="Times New Roman" w:cs="Times New Roman"/>
          <w:i/>
          <w:i/>
          <w:sz w:val="24"/>
          <w:szCs w:val="24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sSub>
            <m:e>
              <m:r>
                <w:rPr>
                  <w:rFonts w:ascii="Cambria Math" w:hAnsi="Cambria Math"/>
                </w:rPr>
                <m:t xml:space="preserve">С</m:t>
              </m:r>
            </m:e>
            <m:sub>
              <m:r>
                <w:rPr>
                  <w:rFonts w:ascii="Cambria Math" w:hAnsi="Cambria Math"/>
                </w:rPr>
                <m:t xml:space="preserve">пр</m:t>
              </m:r>
            </m:sub>
          </m:sSub>
          <m:r>
            <w:rPr>
              <w:rFonts w:ascii="Cambria Math" w:hAnsi="Cambria Math"/>
            </w:rPr>
            <m:t xml:space="preserve">=</m:t>
          </m:r>
          <m:sSub>
            <m:e>
              <m:r>
                <w:rPr>
                  <w:rFonts w:ascii="Cambria Math" w:hAnsi="Cambria Math"/>
                </w:rPr>
                <m:t xml:space="preserve">В</m:t>
              </m:r>
            </m:e>
            <m:sub>
              <m:r>
                <w:rPr>
                  <w:rFonts w:ascii="Cambria Math" w:hAnsi="Cambria Math"/>
                </w:rPr>
                <m:t xml:space="preserve">ср</m:t>
              </m:r>
            </m:sub>
          </m:sSub>
          <m:r>
            <w:rPr>
              <w:rFonts w:ascii="Cambria Math" w:hAnsi="Cambria Math"/>
            </w:rPr>
            <m:t xml:space="preserve">×</m:t>
          </m:r>
          <m:sSub>
            <m:e>
              <m:r>
                <w:rPr>
                  <w:rFonts w:ascii="Cambria Math" w:hAnsi="Cambria Math"/>
                </w:rPr>
                <m:t xml:space="preserve">Т</m:t>
              </m:r>
            </m:e>
            <m:sub>
              <m:r>
                <w:rPr>
                  <w:rFonts w:ascii="Cambria Math" w:hAnsi="Cambria Math"/>
                </w:rPr>
                <m:t xml:space="preserve">п</m:t>
              </m:r>
            </m:sub>
          </m:sSub>
          <m:r>
            <w:rPr>
              <w:rFonts w:ascii="Cambria Math" w:hAnsi="Cambria Math"/>
            </w:rPr>
            <m:t xml:space="preserve">×</m:t>
          </m:r>
          <m:sSub>
            <m:e>
              <m:r>
                <w:rPr>
                  <w:rFonts w:ascii="Cambria Math" w:hAnsi="Cambria Math"/>
                </w:rPr>
                <m:t xml:space="preserve">Ч</m:t>
              </m:r>
            </m:e>
            <m:sub>
              <m:r>
                <w:rPr>
                  <w:rFonts w:ascii="Cambria Math" w:hAnsi="Cambria Math"/>
                </w:rPr>
                <m:t xml:space="preserve">общ</m:t>
              </m:r>
            </m:sub>
          </m:sSub>
          <m:r>
            <w:rPr>
              <w:rFonts w:ascii="Cambria Math" w:hAnsi="Cambria Math"/>
            </w:rPr>
            <m:t xml:space="preserve">×</m:t>
          </m:r>
          <m:sSub>
            <m:e>
              <m:r>
                <w:rPr>
                  <w:rFonts w:ascii="Cambria Math" w:hAnsi="Cambria Math"/>
                </w:rPr>
                <m:t xml:space="preserve">К</m:t>
              </m:r>
            </m:e>
            <m:sub>
              <m:r>
                <w:rPr>
                  <w:rFonts w:ascii="Cambria Math" w:hAnsi="Cambria Math"/>
                </w:rPr>
                <m:t xml:space="preserve">кв</m:t>
              </m:r>
              <m:r>
                <w:rPr>
                  <w:rFonts w:ascii="Cambria Math" w:hAnsi="Cambria Math"/>
                </w:rPr>
                <m:t xml:space="preserve">−</m:t>
              </m:r>
              <m:r>
                <w:rPr>
                  <w:rFonts w:ascii="Cambria Math" w:hAnsi="Cambria Math"/>
                </w:rPr>
                <m:t xml:space="preserve">уч</m:t>
              </m:r>
            </m:sub>
          </m:sSub>
        </m:oMath>
      </m:oMathPara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где: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Спр</m:t>
        </m:r>
      </m:oMath>
      <w:r>
        <w:rPr>
          <w:rFonts w:cs="Times New Roman" w:ascii="Times New Roman" w:hAnsi="Times New Roman"/>
          <w:sz w:val="24"/>
          <w:szCs w:val="24"/>
          <w:vertAlign w:val="subscript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стоимость работ, определенная в соответствии с калькуляцией затрат, рублей;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Вср</m:t>
        </m:r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среднедневная выработка одного непосредственного исполнителя, рублей;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Тп</m:t>
        </m:r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плановая продолжительность выполнения работ, предусмотренных калькуляцией затрат, дни;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Чобщ</m:t>
        </m:r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общая численность непосредственных исполнителей, занятых в выполнении работ, предусмотренных калькуляцией затрат, чел.;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Ккв-уч</m:t>
        </m:r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корректирующий коэффициент, учитывающий степень участия исполнителей различной квалификации в выполнении работ, предусмотренных калькуляцией затрат (далее - коэффициент квалификации-участия);</w:t>
      </w:r>
    </w:p>
    <w:p>
      <w:pPr>
        <w:pStyle w:val="ConsPlusNormal1"/>
        <w:numPr>
          <w:ilvl w:val="1"/>
          <w:numId w:val="30"/>
        </w:numPr>
        <w:tabs>
          <w:tab w:val="clear" w:pos="709"/>
          <w:tab w:val="left" w:pos="1134" w:leader="none"/>
        </w:tabs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среднедневная выработка (</w:t>
      </w: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В</m:t>
        </m:r>
        <m:r>
          <m:rPr>
            <m:lit/>
            <m:nor/>
          </m:rPr>
          <w:rPr>
            <w:rFonts w:ascii="Cambria Math" w:hAnsi="Cambria Math"/>
          </w:rPr>
          <m:t xml:space="preserve">ср</m:t>
        </m:r>
      </m:oMath>
      <w:r>
        <w:rPr>
          <w:rFonts w:cs="Times New Roman" w:ascii="Times New Roman" w:hAnsi="Times New Roman"/>
          <w:sz w:val="24"/>
          <w:szCs w:val="24"/>
        </w:rPr>
        <w:t>) определяется по формуле: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tabs>
          <w:tab w:val="clear" w:pos="709"/>
          <w:tab w:val="left" w:pos="0" w:leader="none"/>
          <w:tab w:val="left" w:pos="1134" w:leader="none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sSub>
            <m:e>
              <m:r>
                <w:rPr>
                  <w:rFonts w:ascii="Cambria Math" w:hAnsi="Cambria Math"/>
                </w:rPr>
                <m:t xml:space="preserve">В</m:t>
              </m:r>
            </m:e>
            <m:sub>
              <m:r>
                <w:rPr>
                  <w:rFonts w:ascii="Cambria Math" w:hAnsi="Cambria Math"/>
                </w:rPr>
                <m:t xml:space="preserve">ср</m:t>
              </m:r>
            </m:sub>
          </m:sSub>
          <m:r>
            <w:rPr>
              <w:rFonts w:ascii="Cambria Math" w:hAnsi="Cambria Math"/>
            </w:rPr>
            <m:t xml:space="preserve">=</m:t>
          </m:r>
          <m:f>
            <m:num>
              <m:sSub>
                <m:e>
                  <m:r>
                    <w:rPr>
                      <w:rFonts w:ascii="Cambria Math" w:hAnsi="Cambria Math"/>
                    </w:rPr>
                    <m:t xml:space="preserve">ЗП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ср</m:t>
                  </m:r>
                </m:sub>
              </m:sSub>
              <m:r>
                <w:rPr>
                  <w:rFonts w:ascii="Cambria Math" w:hAnsi="Cambria Math"/>
                </w:rPr>
                <m:t xml:space="preserve">×</m:t>
              </m:r>
              <m:d>
                <m:dPr>
                  <m:begChr m:val="("/>
                  <m:endChr m:val=")"/>
                </m:dPr>
                <m:e>
                  <m:r>
                    <w:rPr>
                      <w:rFonts w:ascii="Cambria Math" w:hAnsi="Cambria Math"/>
                    </w:rPr>
                    <m:t xml:space="preserve">1</m:t>
                  </m:r>
                  <m:r>
                    <w:rPr>
                      <w:rFonts w:ascii="Cambria Math" w:hAnsi="Cambria Math"/>
                    </w:rPr>
                    <m:t xml:space="preserve">+</m:t>
                  </m:r>
                  <m:r>
                    <w:rPr>
                      <w:rFonts w:ascii="Cambria Math" w:hAnsi="Cambria Math"/>
                    </w:rPr>
                    <m:t xml:space="preserve">Р</m:t>
                  </m:r>
                </m:e>
              </m:d>
            </m:num>
            <m:den>
              <m:sSub>
                <m:e>
                  <m:r>
                    <w:rPr>
                      <w:rFonts w:ascii="Cambria Math" w:hAnsi="Cambria Math"/>
                    </w:rPr>
                    <m:t xml:space="preserve">К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з</m:t>
                  </m:r>
                </m:sub>
              </m:sSub>
            </m:den>
          </m:f>
        </m:oMath>
      </m:oMathPara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где:</w:t>
      </w:r>
    </w:p>
    <w:p>
      <w:pPr>
        <w:pStyle w:val="ConsPlusNormal1"/>
        <w:shd w:val="clear" w:color="auto" w:fill="FFFFFF" w:themeFill="background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Р</m:t>
        </m:r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- коэффициент уровня рентабельности (сметной прибыли), принимается Р = 0,1 (10%) согласно </w:t>
      </w:r>
      <w:hyperlink w:anchor="P1643">
        <w:r>
          <w:rPr>
            <w:rStyle w:val="Hyperlink"/>
            <w:rFonts w:cs="Times New Roman" w:ascii="Times New Roman" w:hAnsi="Times New Roman"/>
            <w:sz w:val="24"/>
            <w:szCs w:val="24"/>
          </w:rPr>
          <w:t>таблице 1.2</w:t>
        </w:r>
      </w:hyperlink>
      <w:r>
        <w:rPr>
          <w:rFonts w:cs="Times New Roman" w:ascii="Times New Roman" w:hAnsi="Times New Roman"/>
          <w:sz w:val="24"/>
          <w:szCs w:val="24"/>
        </w:rPr>
        <w:t>, приведенной в приложении N 2 к Методике №707;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ЗП</m:t>
        </m:r>
        <m:r>
          <m:rPr>
            <m:lit/>
            <m:nor/>
          </m:rPr>
          <w:rPr>
            <w:rFonts w:ascii="Cambria Math" w:hAnsi="Cambria Math"/>
          </w:rPr>
          <m:t xml:space="preserve">ср</m:t>
        </m:r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среднедневная заработная плата, тыс. руб. Принимается по данным Росстата о среднемесячной номинальной начисленной заработной плате работающих в экономике, по видам экономической деятельности в Российской Федерации для научных исследований и разработок (</w:t>
      </w:r>
      <w:hyperlink r:id="rId66">
        <w:r>
          <w:rPr>
            <w:rStyle w:val="Hyperlink"/>
            <w:rFonts w:cs="Times New Roman" w:ascii="Times New Roman" w:hAnsi="Times New Roman"/>
            <w:sz w:val="24"/>
            <w:szCs w:val="24"/>
          </w:rPr>
          <w:t>код 71.2.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согласно ОК 029-2014 (КДЕС ред. 2) "Общероссийский классификатор видов экономической деятельности" (далее - Общероссийский классификатор) за год, предшествующий году определения сметной стоимости работ (среднее значение за период январь - декабрь), исходя из усредненного на основании производственного календаря количества рабочих дней в месяце для года, предшествующего году определения сметной стоимости работ и с </w:t>
      </w:r>
      <w:r>
        <w:rPr>
          <w:rFonts w:cs="Times New Roman" w:ascii="Times New Roman" w:hAnsi="Times New Roman"/>
          <w:sz w:val="24"/>
          <w:szCs w:val="24"/>
          <w:highlight w:val="green"/>
        </w:rPr>
        <w:t>учетом Классификатора объектов административно-территориального деления (ОКАТО) организации выполняющей работы.</w:t>
      </w:r>
      <w:r>
        <w:rPr>
          <w:rFonts w:cs="Times New Roman" w:ascii="Times New Roman" w:hAnsi="Times New Roman"/>
          <w:sz w:val="24"/>
          <w:szCs w:val="24"/>
        </w:rPr>
        <w:t xml:space="preserve"> Для работ по объектам, являющимся особо опасными, технически сложными, уникальными объектами согласно </w:t>
      </w:r>
      <w:hyperlink r:id="rId67">
        <w:r>
          <w:rPr>
            <w:rStyle w:val="Hyperlink"/>
            <w:rFonts w:cs="Times New Roman" w:ascii="Times New Roman" w:hAnsi="Times New Roman"/>
            <w:sz w:val="24"/>
            <w:szCs w:val="24"/>
          </w:rPr>
          <w:t>статье 48.1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Градостроительного кодекса Российской Федерации, а также для работ по подготовке проектной документации, содержащей материалы в форме информационной модели, среднемесячная заработная плата принимается для деятельности в области инженерно-технического проектирования (</w:t>
      </w:r>
      <w:hyperlink r:id="rId68">
        <w:r>
          <w:rPr>
            <w:rStyle w:val="Hyperlink"/>
            <w:rFonts w:cs="Times New Roman" w:ascii="Times New Roman" w:hAnsi="Times New Roman"/>
            <w:sz w:val="24"/>
            <w:szCs w:val="24"/>
          </w:rPr>
          <w:t>код 71.12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согласно ОК 029-2014 (КДЕС ред. 2) Общероссийского классификатора)</w:t>
      </w:r>
      <w:r>
        <w:rPr>
          <w:rStyle w:val="FootnoteReference"/>
          <w:rFonts w:cs="Times New Roman" w:ascii="Times New Roman" w:hAnsi="Times New Roman"/>
          <w:sz w:val="24"/>
          <w:szCs w:val="24"/>
        </w:rPr>
        <w:footnoteReference w:id="13"/>
      </w:r>
      <w:r>
        <w:rPr>
          <w:rFonts w:cs="Times New Roman" w:ascii="Times New Roman" w:hAnsi="Times New Roman"/>
          <w:sz w:val="24"/>
          <w:szCs w:val="24"/>
        </w:rPr>
        <w:t>;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К</m:t>
        </m:r>
        <m:r>
          <w:rPr>
            <w:rFonts w:ascii="Cambria Math" w:hAnsi="Cambria Math"/>
          </w:rPr>
          <m:t xml:space="preserve">з</m:t>
        </m:r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коэффициент, учитывающий долю оплаты труда производственного персонала в себестоимости работ: К3 принимается в размере 40,06%;</w:t>
      </w:r>
    </w:p>
    <w:p>
      <w:pPr>
        <w:pStyle w:val="ConsPlusNormal1"/>
        <w:numPr>
          <w:ilvl w:val="1"/>
          <w:numId w:val="30"/>
        </w:numPr>
        <w:tabs>
          <w:tab w:val="clear" w:pos="709"/>
          <w:tab w:val="left" w:pos="1134" w:leader="none"/>
        </w:tabs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коэффициент, квалификации-участия (</w:t>
      </w: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К</m:t>
            </m:r>
          </m:e>
          <m:sub>
            <m:r>
              <w:rPr>
                <w:rFonts w:ascii="Cambria Math" w:hAnsi="Cambria Math"/>
              </w:rPr>
              <m:t xml:space="preserve">кв</m:t>
            </m:r>
            <m:r>
              <w:rPr>
                <w:rFonts w:ascii="Cambria Math" w:hAnsi="Cambria Math"/>
              </w:rPr>
              <m:t xml:space="preserve">−</m:t>
            </m:r>
            <m:r>
              <w:rPr>
                <w:rFonts w:ascii="Cambria Math" w:hAnsi="Cambria Math"/>
              </w:rPr>
              <m:t xml:space="preserve">уч</m:t>
            </m:r>
          </m:sub>
        </m:sSub>
      </m:oMath>
      <w:r>
        <w:rPr>
          <w:rFonts w:cs="Times New Roman" w:ascii="Times New Roman" w:hAnsi="Times New Roman"/>
          <w:sz w:val="24"/>
          <w:szCs w:val="24"/>
        </w:rPr>
        <w:t>), определяется по формуле: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sSub>
            <m:e>
              <m:r>
                <w:rPr>
                  <w:rFonts w:ascii="Cambria Math" w:hAnsi="Cambria Math"/>
                </w:rPr>
                <m:t xml:space="preserve">К</m:t>
              </m:r>
            </m:e>
            <m:sub>
              <m:r>
                <w:rPr>
                  <w:rFonts w:ascii="Cambria Math" w:hAnsi="Cambria Math"/>
                </w:rPr>
                <m:t xml:space="preserve">кв</m:t>
              </m:r>
              <m:r>
                <w:rPr>
                  <w:rFonts w:ascii="Cambria Math" w:hAnsi="Cambria Math"/>
                </w:rPr>
                <m:t xml:space="preserve">−</m:t>
              </m:r>
              <m:r>
                <w:rPr>
                  <w:rFonts w:ascii="Cambria Math" w:hAnsi="Cambria Math"/>
                </w:rPr>
                <m:t xml:space="preserve">уч</m:t>
              </m:r>
            </m:sub>
          </m:sSub>
          <m:r>
            <w:rPr>
              <w:rFonts w:ascii="Cambria Math" w:hAnsi="Cambria Math"/>
            </w:rPr>
            <m:t xml:space="preserve">=</m:t>
          </m:r>
          <m:f>
            <m:num>
              <m:nary>
                <m:naryPr>
                  <m:chr m:val="∑"/>
                </m:naryPr>
                <m:sub>
                  <m:r>
                    <w:rPr>
                      <w:rFonts w:ascii="Cambria Math" w:hAnsi="Cambria Math"/>
                    </w:rPr>
                    <m:t xml:space="preserve">i</m:t>
                  </m:r>
                  <m:r>
                    <w:rPr>
                      <w:rFonts w:ascii="Cambria Math" w:hAnsi="Cambria Math"/>
                    </w:rPr>
                    <m:t xml:space="preserve">=</m:t>
                  </m:r>
                  <m:r>
                    <w:rPr>
                      <w:rFonts w:ascii="Cambria Math" w:hAnsi="Cambria Math"/>
                    </w:rPr>
                    <m:t xml:space="preserve">1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n</m:t>
                  </m:r>
                </m:sup>
                <m:e>
                  <m:f>
                    <m:num>
                      <m:sSub>
                        <m:e>
                          <m:r>
                            <w:rPr>
                              <w:rFonts w:ascii="Cambria Math" w:hAnsi="Cambria Math"/>
                            </w:rPr>
                            <m:t xml:space="preserve"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 xml:space="preserve">ф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i</m:t>
                          </m:r>
                        </m:sub>
                      </m:sSub>
                    </m:num>
                    <m:den>
                      <m:sSub>
                        <m:e>
                          <m:r>
                            <w:rPr>
                              <w:rFonts w:ascii="Cambria Math" w:hAnsi="Cambria Math"/>
                            </w:rPr>
                            <m:t xml:space="preserve">Т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 xml:space="preserve">общ</m:t>
                          </m:r>
                        </m:sub>
                      </m:sSub>
                    </m:den>
                  </m:f>
                </m:e>
              </m:nary>
              <m:r>
                <w:rPr>
                  <w:rFonts w:ascii="Cambria Math" w:hAnsi="Cambria Math"/>
                </w:rPr>
                <m:t xml:space="preserve">×</m:t>
              </m:r>
              <m:sSub>
                <m:e>
                  <m:r>
                    <w:rPr>
                      <w:rFonts w:ascii="Cambria Math" w:hAnsi="Cambria Math"/>
                    </w:rPr>
                    <m:t xml:space="preserve">Ч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i</m:t>
                  </m:r>
                </m:sub>
              </m:sSub>
              <m:r>
                <w:rPr>
                  <w:rFonts w:ascii="Cambria Math" w:hAnsi="Cambria Math"/>
                </w:rPr>
                <m:t xml:space="preserve">×</m:t>
              </m:r>
              <m:sSub>
                <m:e>
                  <m:r>
                    <w:rPr>
                      <w:rFonts w:ascii="Cambria Math" w:hAnsi="Cambria Math"/>
                    </w:rPr>
                    <m:t xml:space="preserve">И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i</m:t>
                  </m:r>
                </m:sub>
              </m:sSub>
            </m:num>
            <m:den>
              <m:sSub>
                <m:e>
                  <m:r>
                    <w:rPr>
                      <w:rFonts w:ascii="Cambria Math" w:hAnsi="Cambria Math"/>
                    </w:rPr>
                    <m:t xml:space="preserve">Ч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общ</m:t>
                  </m:r>
                </m:sub>
              </m:sSub>
            </m:den>
          </m:f>
        </m:oMath>
      </m:oMathPara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где: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И</m:t>
            </m:r>
          </m:e>
          <m:sub>
            <m:r>
              <w:rPr>
                <w:rFonts w:ascii="Cambria Math" w:hAnsi="Cambria Math"/>
              </w:rPr>
              <m:t xml:space="preserve">i</m:t>
            </m:r>
          </m:sub>
        </m:sSub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- индекс квалификации непосредственных исполнителей согласно </w:t>
      </w:r>
      <w:hyperlink w:anchor="P1654">
        <w:r>
          <w:rPr>
            <w:rStyle w:val="Hyperlink"/>
            <w:rFonts w:cs="Times New Roman" w:ascii="Times New Roman" w:hAnsi="Times New Roman"/>
            <w:sz w:val="24"/>
            <w:szCs w:val="24"/>
          </w:rPr>
          <w:t>таблицам 1.3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- </w:t>
      </w:r>
      <w:hyperlink w:anchor="P1701">
        <w:r>
          <w:rPr>
            <w:rStyle w:val="Hyperlink"/>
            <w:rFonts w:cs="Times New Roman" w:ascii="Times New Roman" w:hAnsi="Times New Roman"/>
            <w:sz w:val="24"/>
            <w:szCs w:val="24"/>
          </w:rPr>
          <w:t>1.4</w:t>
        </w:r>
      </w:hyperlink>
      <w:r>
        <w:rPr>
          <w:rFonts w:cs="Times New Roman" w:ascii="Times New Roman" w:hAnsi="Times New Roman"/>
          <w:sz w:val="24"/>
          <w:szCs w:val="24"/>
        </w:rPr>
        <w:t xml:space="preserve">, приведенным в приложении N 2 к Методике №707. Для отдельных отраслей индексы, приведенные в </w:t>
      </w:r>
      <w:hyperlink w:anchor="P1654">
        <w:r>
          <w:rPr>
            <w:rStyle w:val="Hyperlink"/>
            <w:rFonts w:cs="Times New Roman" w:ascii="Times New Roman" w:hAnsi="Times New Roman"/>
            <w:sz w:val="24"/>
            <w:szCs w:val="24"/>
          </w:rPr>
          <w:t>таблицах 1.3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- </w:t>
      </w:r>
      <w:hyperlink w:anchor="P1701">
        <w:r>
          <w:rPr>
            <w:rStyle w:val="Hyperlink"/>
            <w:rFonts w:cs="Times New Roman" w:ascii="Times New Roman" w:hAnsi="Times New Roman"/>
            <w:sz w:val="24"/>
            <w:szCs w:val="24"/>
          </w:rPr>
          <w:t>1.4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приложения N 2 к Методике №707, подлежат уточнению при предоставлении соответствующих обоснований (бухгалтерских справок и аналогичных документов), документально подтвержденных уполномоченными лицами проектной организации;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Ч</m:t>
            </m:r>
          </m:e>
          <m:sub>
            <m:r>
              <w:rPr>
                <w:rFonts w:ascii="Cambria Math" w:hAnsi="Cambria Math"/>
              </w:rPr>
              <m:t xml:space="preserve">i</m:t>
            </m:r>
          </m:sub>
        </m:sSub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численность исполнителей одинаковой квалификации, чел.;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T</m:t>
            </m:r>
          </m:e>
          <m:sub>
            <m:r>
              <w:rPr>
                <w:rFonts w:ascii="Cambria Math" w:hAnsi="Cambria Math"/>
              </w:rPr>
              <m:t xml:space="preserve">ф</m:t>
            </m:r>
            <m:r>
              <w:rPr>
                <w:rFonts w:ascii="Cambria Math" w:hAnsi="Cambria Math"/>
              </w:rPr>
              <m:t xml:space="preserve">i</m:t>
            </m:r>
          </m:sub>
        </m:sSub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фактическое время работы исполнителей одинаковой квалификации, дни.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Численность и должностные категории (квалификация) исполнителей, фактическое время работы исполнителей одинаковой квалификации определяются на основании положений документов по стандартизации согласно </w:t>
      </w:r>
      <w:hyperlink r:id="rId69">
        <w:r>
          <w:rPr>
            <w:rStyle w:val="Hyperlink"/>
            <w:rFonts w:cs="Times New Roman" w:ascii="Times New Roman" w:hAnsi="Times New Roman"/>
            <w:sz w:val="24"/>
            <w:szCs w:val="24"/>
          </w:rPr>
          <w:t>статье 14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Федерального закона от 29 июня 2015 г. N 162-ФЗ "О стандартизации в Российской Федерации" (Собрание законодательства Российской Федерации, 2015, N 27, ст. 3953; 2021, N 1, ст. 62), стандартов процесса подготовки проектной документации согласно </w:t>
      </w:r>
      <w:hyperlink r:id="rId70">
        <w:r>
          <w:rPr>
            <w:rStyle w:val="Hyperlink"/>
            <w:rFonts w:cs="Times New Roman" w:ascii="Times New Roman" w:hAnsi="Times New Roman"/>
            <w:sz w:val="24"/>
            <w:szCs w:val="24"/>
          </w:rPr>
          <w:t>пункту 10 части 8 статьи 55.20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Градостроительного кодекса Российской Федерации (Собрание законодательства Российской Федерации, 2005, N 1, ст. 16; 2018, N 32, ст. 5133), норм проектирования, данных о трудоемкости объектов-аналогов, результатов опроса, проведенного среди не менее трех проектных организаций, специализирующихся на выполнение проектных работ, на которые подготавливается смета, таблиц технологического процесса выполнения проектных работ по объекту, продолжительности выполняемых работ, указанных в календарном плане к договору на выполнение проектных работ, данных о времени и количестве исполнителей определенной квалификации, принимающих участие в выполнении проектных работ, которые должны быть подписаны руководителем проектной организации, предоставляющей такие данные, и заверены ее печатью.</w:t>
      </w:r>
    </w:p>
    <w:p>
      <w:pPr>
        <w:pStyle w:val="ConsPlusNormal1"/>
        <w:numPr>
          <w:ilvl w:val="1"/>
          <w:numId w:val="30"/>
        </w:numPr>
        <w:tabs>
          <w:tab w:val="clear" w:pos="709"/>
          <w:tab w:val="left" w:pos="1134" w:leader="none"/>
        </w:tabs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highlight w:val="green"/>
        </w:rPr>
        <w:t>Для пересчета стоимости работ в текущий уровень цен применяются соответствующие индексы изменения сметной стоимости, выпущенные письмом Минстроя России, актуальным на момент составления сметной документации, с учетом периода выполнения работ.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  <w:highlight w:val="green"/>
        </w:rPr>
        <w:t>Например, в 1 квартале 2025 года, стоимость НИР рассчитывается по калькуляции затрат в уровне цен по состоянию на 31.12.2024 и включается в смету с последующим применением соответствующих индексов изменения сметной стоимости на 1 квартал 2025 года к уровню цен по состоянию на 01.01.2025, сообщаемых письмом Минстроя России от 01.02.2025г. №5170-ИФ/09.</w:t>
      </w:r>
      <w:r>
        <w:rPr>
          <w:rFonts w:cs="Times New Roman" w:ascii="Times New Roman" w:hAnsi="Times New Roman"/>
          <w:i/>
          <w:sz w:val="24"/>
          <w:szCs w:val="24"/>
        </w:rPr>
        <w:t xml:space="preserve"> </w:t>
      </w:r>
    </w:p>
    <w:p>
      <w:pPr>
        <w:pStyle w:val="ListParagraph"/>
        <w:numPr>
          <w:ilvl w:val="1"/>
          <w:numId w:val="30"/>
        </w:numPr>
        <w:tabs>
          <w:tab w:val="clear" w:pos="709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стоимость НИР/НИОКР, определяемых в соответствии с калькуляцией затрат, не учитывает командировочные расходы, определяемые дополнительно.</w:t>
      </w:r>
    </w:p>
    <w:p>
      <w:pPr>
        <w:pStyle w:val="Normal"/>
        <w:tabs>
          <w:tab w:val="clear" w:pos="709"/>
          <w:tab w:val="left" w:pos="993" w:leader="none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ListParagraph"/>
        <w:numPr>
          <w:ilvl w:val="0"/>
          <w:numId w:val="30"/>
        </w:numPr>
        <w:tabs>
          <w:tab w:val="clear" w:pos="709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Для обоснования командировочных расходов предоставляется отдельно выполненный расчет (форма 4п)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>
      <w:pPr>
        <w:pStyle w:val="ConsPlusNormal1"/>
        <w:tabs>
          <w:tab w:val="clear" w:pos="709"/>
          <w:tab w:val="left" w:pos="284" w:leader="none"/>
          <w:tab w:val="left" w:pos="1134" w:leader="none"/>
        </w:tabs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Лимиты командировочных расходов при производстве НИР/НИОКР не более:</w:t>
      </w:r>
    </w:p>
    <w:p>
      <w:pPr>
        <w:pStyle w:val="ListParagraph"/>
        <w:numPr>
          <w:ilvl w:val="0"/>
          <w:numId w:val="17"/>
        </w:numPr>
        <w:tabs>
          <w:tab w:val="clear" w:pos="709"/>
          <w:tab w:val="left" w:pos="851" w:leader="none"/>
          <w:tab w:val="left" w:pos="1080" w:leader="none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суточные - 700 руб./сутки;</w:t>
      </w:r>
    </w:p>
    <w:p>
      <w:pPr>
        <w:pStyle w:val="ListParagraph"/>
        <w:numPr>
          <w:ilvl w:val="0"/>
          <w:numId w:val="17"/>
        </w:numPr>
        <w:tabs>
          <w:tab w:val="clear" w:pos="709"/>
          <w:tab w:val="left" w:pos="851" w:leader="none"/>
          <w:tab w:val="left" w:pos="1080" w:leader="none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проживание – 5000 руб./сутки;</w:t>
      </w:r>
    </w:p>
    <w:p>
      <w:pPr>
        <w:pStyle w:val="ListParagraph"/>
        <w:numPr>
          <w:ilvl w:val="0"/>
          <w:numId w:val="17"/>
        </w:numPr>
        <w:tabs>
          <w:tab w:val="clear" w:pos="709"/>
          <w:tab w:val="left" w:pos="851" w:leader="none"/>
          <w:tab w:val="left" w:pos="1080" w:leader="none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проезд: поезд (купе) или самолет (класс–эконом с багажом до 20 (двадцати) кг, ручная кладь до 10 (десяти) кг).</w:t>
      </w:r>
    </w:p>
    <w:p>
      <w:pPr>
        <w:pStyle w:val="ListParagraph"/>
        <w:tabs>
          <w:tab w:val="clear" w:pos="709"/>
          <w:tab w:val="left" w:pos="1134" w:leader="none"/>
        </w:tabs>
        <w:suppressAutoHyphens w:val="true"/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b/>
          <w:i/>
          <w:i/>
          <w:color w:val="FF0000"/>
          <w:sz w:val="24"/>
          <w:szCs w:val="24"/>
        </w:rPr>
      </w:pPr>
      <w:r>
        <w:rPr>
          <w:rFonts w:ascii="Times New Roman" w:hAnsi="Times New Roman"/>
          <w:b/>
          <w:i/>
          <w:color w:val="FF0000"/>
          <w:sz w:val="24"/>
          <w:szCs w:val="24"/>
        </w:rPr>
        <w:t>Данные лимиты могут быть пересмотрены на этапе согласования технических требований</w:t>
      </w:r>
      <w:r>
        <w:rPr>
          <w:rFonts w:ascii="Times New Roman" w:hAnsi="Times New Roman"/>
          <w:color w:val="FF0000"/>
          <w:sz w:val="24"/>
          <w:szCs w:val="24"/>
        </w:rPr>
        <w:t>».</w:t>
      </w:r>
    </w:p>
    <w:p>
      <w:pPr>
        <w:pStyle w:val="ListParagraph"/>
        <w:tabs>
          <w:tab w:val="clear" w:pos="709"/>
          <w:tab w:val="left" w:pos="993" w:leader="none"/>
          <w:tab w:val="left" w:pos="1080" w:leader="none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учете командировочных расходов стоимость проезда (авиа-, ж/д, …) определяется </w:t>
      </w:r>
      <w:r>
        <w:rPr>
          <w:rFonts w:eastAsia="Calibri" w:ascii="Times New Roman" w:hAnsi="Times New Roman"/>
          <w:sz w:val="24"/>
          <w:szCs w:val="24"/>
          <w:lang w:eastAsia="en-US"/>
        </w:rPr>
        <w:t>методами, предусмотренными Методикой ПЦ (методы без использования сметных нормативов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FF0000"/>
          <w:sz w:val="24"/>
          <w:szCs w:val="24"/>
        </w:rPr>
        <w:t>(включить соответствующие требования Методики ПЦ отдельным приложением)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ListParagraph"/>
        <w:tabs>
          <w:tab w:val="clear" w:pos="709"/>
          <w:tab w:val="left" w:pos="993" w:leader="none"/>
          <w:tab w:val="left" w:pos="1080" w:leader="none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>
      <w:pPr>
        <w:sectPr>
          <w:footerReference w:type="default" r:id="rId71"/>
          <w:footerReference w:type="first" r:id="rId72"/>
          <w:footnotePr>
            <w:numFmt w:val="decimal"/>
            <w:numRestart w:val="eachSect"/>
          </w:footnotePr>
          <w:type w:val="nextPage"/>
          <w:pgSz w:w="11906" w:h="16838"/>
          <w:pgMar w:left="1418" w:right="851" w:gutter="0" w:header="0" w:top="1134" w:footer="709" w:bottom="1134"/>
          <w:pgNumType w:fmt="decimal"/>
          <w:formProt w:val="false"/>
          <w:textDirection w:val="lrTb"/>
          <w:docGrid w:type="default" w:linePitch="360" w:charSpace="0"/>
        </w:sectPr>
        <w:pStyle w:val="ListParagraph"/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firstLine="567" w:left="0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</w:r>
    </w:p>
    <w:p>
      <w:pPr>
        <w:pStyle w:val="Normal"/>
        <w:spacing w:lineRule="auto" w:line="240" w:before="0" w:after="0"/>
        <w:ind w:left="6237"/>
        <w:contextualSpacing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 2</w:t>
      </w:r>
    </w:p>
    <w:p>
      <w:pPr>
        <w:pStyle w:val="Normal"/>
        <w:tabs>
          <w:tab w:val="clear" w:pos="709"/>
          <w:tab w:val="left" w:pos="5812" w:leader="none"/>
        </w:tabs>
        <w:spacing w:lineRule="auto" w:line="240" w:before="0" w:after="0"/>
        <w:ind w:left="5670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Требованиям к оформлению и составлению смет или расчетов на выполнение услуг по программе НИР/НИОКР</w:t>
      </w:r>
    </w:p>
    <w:p>
      <w:pPr>
        <w:pStyle w:val="Normal"/>
        <w:shd w:val="clear" w:color="auto" w:fill="FFFFFF"/>
        <w:spacing w:lineRule="auto" w:line="240" w:before="0" w:after="0"/>
        <w:ind w:firstLine="284" w:right="-709"/>
        <w:contextualSpacing/>
        <w:jc w:val="right"/>
        <w:rPr>
          <w:rFonts w:ascii="Times New Roman" w:hAnsi="Times New Roman"/>
          <w:b/>
          <w:bCs/>
          <w:iCs/>
          <w:spacing w:val="-4"/>
        </w:rPr>
      </w:pPr>
      <w:r>
        <w:rPr>
          <w:rFonts w:ascii="Times New Roman" w:hAnsi="Times New Roman"/>
          <w:b/>
          <w:bCs/>
          <w:iCs/>
          <w:spacing w:val="-4"/>
        </w:rPr>
      </w:r>
    </w:p>
    <w:tbl>
      <w:tblPr>
        <w:tblW w:w="935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356"/>
      </w:tblGrid>
      <w:tr>
        <w:trPr/>
        <w:tc>
          <w:tcPr>
            <w:tcW w:w="9356" w:type="dxa"/>
            <w:tcBorders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Образец сметы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основные и дополнительные работы,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 также сопутствующие работы (форма 2п)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СМЕТА №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научно-исследовательские работы (НИР/НИОКР)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________________________________________________________________________________________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(наименование объекта)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Заказчик ________________________________________________________________________________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(наименование организации)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Проектная организация ___________________________________________________________________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(наименование организации)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Составлена в уровне цен на ___________ 20__ г.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tbl>
            <w:tblPr>
              <w:tblW w:w="9379" w:type="dxa"/>
              <w:jc w:val="left"/>
              <w:tblInd w:w="-10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noHBand="0" w:noVBand="1" w:firstColumn="1" w:lastRow="0" w:lastColumn="0" w:firstRow="1"/>
            </w:tblPr>
            <w:tblGrid>
              <w:gridCol w:w="453"/>
              <w:gridCol w:w="1815"/>
              <w:gridCol w:w="3284"/>
              <w:gridCol w:w="1984"/>
              <w:gridCol w:w="1843"/>
            </w:tblGrid>
            <w:tr>
              <w:trPr/>
              <w:tc>
                <w:tcPr>
                  <w:tcW w:w="45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N пп</w:t>
                  </w:r>
                </w:p>
              </w:tc>
              <w:tc>
                <w:tcPr>
                  <w:tcW w:w="1815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Наименование объекта </w:t>
                  </w:r>
                </w:p>
              </w:tc>
              <w:tc>
                <w:tcPr>
                  <w:tcW w:w="3284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Наименование, номера глав, таблиц, параграфов и пунктов МНЗ (СБЦ)  </w:t>
                  </w: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Расчет стоимости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ind w:left="187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Сметная стоимость, руб.</w:t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453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15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spacing w:lineRule="auto" w:line="240" w:before="0" w:after="0"/>
                    <w:ind w:left="187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  <w:tr>
              <w:trPr/>
              <w:tc>
                <w:tcPr>
                  <w:tcW w:w="453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15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32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9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43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spacing w:lineRule="auto" w:line="240" w:before="0" w:after="0"/>
                    <w:ind w:left="187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453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15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32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9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43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spacing w:lineRule="auto" w:line="240" w:before="0" w:after="0"/>
                    <w:ind w:left="187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453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15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32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9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43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spacing w:lineRule="auto" w:line="240" w:before="0" w:after="0"/>
                    <w:ind w:left="187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453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5099" w:type="dxa"/>
                  <w:gridSpan w:val="2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Итого без учета НДС</w:t>
                  </w:r>
                </w:p>
              </w:tc>
              <w:tc>
                <w:tcPr>
                  <w:tcW w:w="19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43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spacing w:lineRule="auto" w:line="240" w:before="0" w:after="0"/>
                    <w:ind w:left="187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Calibri" w:eastAsiaTheme="minorHAnsi"/>
                <w:lang w:eastAsia="en-US"/>
              </w:rPr>
            </w:pPr>
            <w:r>
              <w:rPr>
                <w:rFonts w:eastAsia="Calibri" w:eastAsiaTheme="minorHAnsi" w:ascii="Times New Roman" w:hAnsi="Times New Roman"/>
                <w:lang w:eastAsia="en-US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проектной организации _____________________________________________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Главный инженер проекта _______________________________________________________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___________________ отдела __________________________________________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</w:rPr>
              <w:t xml:space="preserve">                             </w:t>
            </w:r>
            <w:r>
              <w:rPr>
                <w:rFonts w:ascii="Times New Roman" w:hAnsi="Times New Roman"/>
                <w:i/>
                <w:iCs/>
              </w:rPr>
              <w:t>(наименование)                            [подпись (инициалы, фамилия)]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Заказчик _____________________________________________________________________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[должность, подпись (инициалы, фамилия)]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sectPr>
          <w:footerReference w:type="default" r:id="rId73"/>
          <w:footerReference w:type="first" r:id="rId74"/>
          <w:footnotePr>
            <w:numFmt w:val="decimal"/>
            <w:numRestart w:val="eachSect"/>
          </w:footnotePr>
          <w:type w:val="nextPage"/>
          <w:pgSz w:w="11906" w:h="16838"/>
          <w:pgMar w:left="1418" w:right="851" w:gutter="0" w:header="0" w:top="1134" w:footer="709" w:bottom="1134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Normal"/>
        <w:spacing w:lineRule="auto" w:line="240" w:before="0" w:after="0"/>
        <w:ind w:left="5811"/>
        <w:contextualSpacing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№1</w:t>
      </w:r>
    </w:p>
    <w:p>
      <w:pPr>
        <w:pStyle w:val="Normal"/>
        <w:spacing w:lineRule="auto" w:line="240" w:before="0" w:after="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пояснительной записке</w:t>
      </w:r>
    </w:p>
    <w:p>
      <w:pPr>
        <w:pStyle w:val="Normal"/>
        <w:spacing w:lineRule="auto" w:line="240" w:before="0" w:after="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 заполнению формы 3П</w:t>
      </w:r>
    </w:p>
    <w:p>
      <w:pPr>
        <w:pStyle w:val="Normal"/>
        <w:spacing w:lineRule="auto" w:line="240" w:before="0" w:after="0"/>
        <w:ind w:left="6373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Образец сметы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 НИР/НИОКР в соответствии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 калькуляцией затрат (форма 3п)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СМЕТА №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 научно-исследовательские работы (НИР/НИОКР)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firstLine="1134" w:right="124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(наименование объекта)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right="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Заказчик ________________________________________________________________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(наименование организации)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right="124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Проектная организация 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(наименование организации)</w:t>
      </w:r>
    </w:p>
    <w:p>
      <w:pPr>
        <w:pStyle w:val="Normal"/>
        <w:spacing w:lineRule="auto" w:line="240" w:before="0" w:after="0"/>
        <w:ind w:right="124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Составлена в уровне цен на ___________ 20__ г.</w:t>
      </w:r>
    </w:p>
    <w:p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Расчет коэффициента, учитывающего степень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участия исполнителей различной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квалификации в выполнении научно-исследовательских работ (Ккв-уч)</w:t>
      </w:r>
    </w:p>
    <w:tbl>
      <w:tblPr>
        <w:tblW w:w="9912" w:type="dxa"/>
        <w:jc w:val="left"/>
        <w:tblInd w:w="-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557"/>
        <w:gridCol w:w="1418"/>
        <w:gridCol w:w="1558"/>
        <w:gridCol w:w="1844"/>
        <w:gridCol w:w="1416"/>
        <w:gridCol w:w="1418"/>
        <w:gridCol w:w="1700"/>
      </w:tblGrid>
      <w:tr>
        <w:trPr/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должностей исполнителей</w:t>
            </w:r>
          </w:p>
        </w:tc>
        <w:tc>
          <w:tcPr>
            <w:tcW w:w="15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ind w:firstLine="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Фактическое время участия исполнителя в работе, Тф (дни)</w:t>
            </w:r>
          </w:p>
        </w:tc>
        <w:tc>
          <w:tcPr>
            <w:tcW w:w="184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Плановая продолжительность выполнения работ, предусмотренных калькуляцией, Тп (дни)</w:t>
            </w:r>
          </w:p>
        </w:tc>
        <w:tc>
          <w:tcPr>
            <w:tcW w:w="14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ind w:hanging="56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Численность исполнителей одной квалификации Чi (чел)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Индекс уровня квалификации специалистов исполнителей работы И</w:t>
            </w:r>
            <w:r>
              <w:rPr>
                <w:rFonts w:cs="Times New Roman" w:ascii="Times New Roman" w:hAnsi="Times New Roman"/>
                <w:lang w:val="en-US"/>
              </w:rPr>
              <w:t>i</w:t>
            </w:r>
          </w:p>
        </w:tc>
        <w:tc>
          <w:tcPr>
            <w:tcW w:w="17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ind w:firstLine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Коэффициент квалификации (участия) специалистов одной квалификации,</w:t>
            </w:r>
          </w:p>
          <w:p>
            <w:pPr>
              <w:pStyle w:val="ConsPlusNormal1"/>
              <w:ind w:firstLine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∑</w:t>
            </w:r>
            <w:r>
              <w:rPr>
                <w:rFonts w:cs="Times New Roman" w:ascii="Times New Roman" w:hAnsi="Times New Roman"/>
              </w:rPr>
              <w:t>(гр.3/итог гр.4 х гр.5 х гр.6) / ∑гр.5</w:t>
            </w:r>
          </w:p>
        </w:tc>
      </w:tr>
      <w:tr>
        <w:trPr/>
        <w:tc>
          <w:tcPr>
            <w:tcW w:w="5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8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5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41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</w:tr>
      <w:tr>
        <w:trPr/>
        <w:tc>
          <w:tcPr>
            <w:tcW w:w="5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51"/>
              <w:jc w:val="center"/>
              <w:rPr>
                <w:rFonts w:ascii="Times New Roman" w:hAnsi="Times New Roman" w:cs="Times New Roman"/>
              </w:rPr>
            </w:pPr>
            <w:hyperlink w:anchor="P3816">
              <w:r>
                <w:rPr>
                  <w:rStyle w:val="Hyperlink"/>
                  <w:rFonts w:cs="Times New Roman" w:ascii="Times New Roman" w:hAnsi="Times New Roman"/>
                </w:rPr>
                <w:t>*</w:t>
              </w:r>
            </w:hyperlink>
          </w:p>
        </w:tc>
        <w:tc>
          <w:tcPr>
            <w:tcW w:w="141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51"/>
              <w:jc w:val="center"/>
              <w:rPr>
                <w:rFonts w:ascii="Times New Roman" w:hAnsi="Times New Roman" w:cs="Times New Roman"/>
              </w:rPr>
            </w:pPr>
            <w:hyperlink w:anchor="P3816">
              <w:r>
                <w:rPr>
                  <w:rStyle w:val="Hyperlink"/>
                  <w:rFonts w:cs="Times New Roman" w:ascii="Times New Roman" w:hAnsi="Times New Roman"/>
                </w:rPr>
                <w:t>*</w:t>
              </w:r>
            </w:hyperlink>
          </w:p>
        </w:tc>
        <w:tc>
          <w:tcPr>
            <w:tcW w:w="141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51"/>
              <w:jc w:val="center"/>
              <w:rPr>
                <w:rFonts w:ascii="Times New Roman" w:hAnsi="Times New Roman" w:cs="Times New Roman"/>
              </w:rPr>
            </w:pPr>
            <w:hyperlink w:anchor="P3816">
              <w:r>
                <w:rPr>
                  <w:rStyle w:val="Hyperlink"/>
                  <w:rFonts w:cs="Times New Roman" w:ascii="Times New Roman" w:hAnsi="Times New Roman"/>
                </w:rPr>
                <w:t>*</w:t>
              </w:r>
            </w:hyperlink>
          </w:p>
        </w:tc>
        <w:tc>
          <w:tcPr>
            <w:tcW w:w="141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Итого</w:t>
            </w:r>
          </w:p>
        </w:tc>
        <w:tc>
          <w:tcPr>
            <w:tcW w:w="15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hyperlink w:anchor="P3816">
              <w:r>
                <w:rPr>
                  <w:rStyle w:val="Hyperlink"/>
                  <w:rFonts w:cs="Times New Roman" w:ascii="Times New Roman" w:hAnsi="Times New Roman"/>
                </w:rPr>
                <w:t>*</w:t>
              </w:r>
            </w:hyperlink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5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hyperlink w:anchor="P3816">
              <w:r>
                <w:rPr>
                  <w:rStyle w:val="Hyperlink"/>
                  <w:rFonts w:cs="Times New Roman" w:ascii="Times New Roman" w:hAnsi="Times New Roman"/>
                </w:rPr>
                <w:t>*</w:t>
              </w:r>
            </w:hyperlink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Примечание: &lt;*&gt; Графы для расчета коэффициента в таблице не заполняются</w:t>
      </w:r>
    </w:p>
    <w:p>
      <w:pPr>
        <w:sectPr>
          <w:footerReference w:type="default" r:id="rId75"/>
          <w:footerReference w:type="first" r:id="rId76"/>
          <w:footnotePr>
            <w:numFmt w:val="decimal"/>
            <w:numRestart w:val="eachSect"/>
          </w:footnotePr>
          <w:type w:val="nextPage"/>
          <w:pgSz w:w="11906" w:h="16838"/>
          <w:pgMar w:left="1418" w:right="851" w:gutter="0" w:header="0" w:top="1134" w:footer="709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br w:type="page"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Расчет стоимости работ в соответствии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 калькуляцией затрат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5501" w:type="dxa"/>
        <w:jc w:val="left"/>
        <w:tblInd w:w="-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1691"/>
        <w:gridCol w:w="1418"/>
        <w:gridCol w:w="1700"/>
        <w:gridCol w:w="1844"/>
        <w:gridCol w:w="1134"/>
        <w:gridCol w:w="1701"/>
        <w:gridCol w:w="1416"/>
        <w:gridCol w:w="1701"/>
        <w:gridCol w:w="1604"/>
        <w:gridCol w:w="1290"/>
      </w:tblGrid>
      <w:tr>
        <w:trPr/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Среднемесячная зарплата исполнителей, руб.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Кол-во рабочих дней в месяце, дни</w:t>
            </w:r>
          </w:p>
        </w:tc>
        <w:tc>
          <w:tcPr>
            <w:tcW w:w="17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Среднедневная зарплата исполнителей, руб.</w:t>
            </w:r>
          </w:p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</w:t>
            </w:r>
            <w:hyperlink w:anchor="P3831">
              <w:r>
                <w:rPr>
                  <w:rStyle w:val="Hyperlink"/>
                  <w:rFonts w:cs="Times New Roman" w:ascii="Times New Roman" w:hAnsi="Times New Roman"/>
                </w:rPr>
                <w:t>гр 1</w:t>
              </w:r>
            </w:hyperlink>
            <w:r>
              <w:rPr>
                <w:rFonts w:cs="Times New Roman" w:ascii="Times New Roman" w:hAnsi="Times New Roman"/>
              </w:rPr>
              <w:t xml:space="preserve"> / </w:t>
            </w:r>
            <w:hyperlink w:anchor="P3832">
              <w:r>
                <w:rPr>
                  <w:rStyle w:val="Hyperlink"/>
                  <w:rFonts w:cs="Times New Roman" w:ascii="Times New Roman" w:hAnsi="Times New Roman"/>
                </w:rPr>
                <w:t>гр 2</w:t>
              </w:r>
            </w:hyperlink>
            <w:r>
              <w:rPr>
                <w:rFonts w:cs="Times New Roman" w:ascii="Times New Roman" w:hAnsi="Times New Roman"/>
              </w:rPr>
              <w:t>)</w:t>
            </w:r>
          </w:p>
        </w:tc>
        <w:tc>
          <w:tcPr>
            <w:tcW w:w="184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Удельный вес зарплаты в себестоимости работ - Кз, %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Рентабель-ность, %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Среднедневная единичная выработка, руб. (</w:t>
            </w:r>
            <w:hyperlink w:anchor="P3833">
              <w:r>
                <w:rPr>
                  <w:rStyle w:val="Hyperlink"/>
                  <w:rFonts w:cs="Times New Roman" w:ascii="Times New Roman" w:hAnsi="Times New Roman"/>
                </w:rPr>
                <w:t>гр. 3</w:t>
              </w:r>
            </w:hyperlink>
            <w:r>
              <w:rPr>
                <w:rFonts w:cs="Times New Roman" w:ascii="Times New Roman" w:hAnsi="Times New Roman"/>
              </w:rPr>
              <w:t xml:space="preserve"> x (1 + </w:t>
            </w:r>
            <w:hyperlink w:anchor="P3835">
              <w:r>
                <w:rPr>
                  <w:rStyle w:val="Hyperlink"/>
                  <w:rFonts w:cs="Times New Roman" w:ascii="Times New Roman" w:hAnsi="Times New Roman"/>
                </w:rPr>
                <w:t>гр. 5</w:t>
              </w:r>
            </w:hyperlink>
            <w:r>
              <w:rPr>
                <w:rFonts w:cs="Times New Roman" w:ascii="Times New Roman" w:hAnsi="Times New Roman"/>
              </w:rPr>
              <w:t xml:space="preserve">)) / </w:t>
            </w:r>
            <w:hyperlink w:anchor="P3834">
              <w:r>
                <w:rPr>
                  <w:rStyle w:val="Hyperlink"/>
                  <w:rFonts w:cs="Times New Roman" w:ascii="Times New Roman" w:hAnsi="Times New Roman"/>
                </w:rPr>
                <w:t>гр. 4</w:t>
              </w:r>
            </w:hyperlink>
          </w:p>
        </w:tc>
        <w:tc>
          <w:tcPr>
            <w:tcW w:w="14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Продолжи-тельность разработки (дни)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Численность исполнителей (чел.)</w:t>
            </w:r>
          </w:p>
        </w:tc>
        <w:tc>
          <w:tcPr>
            <w:tcW w:w="16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Коэффициент квалификации (участия) </w:t>
            </w:r>
          </w:p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Ккв-уч</w:t>
            </w:r>
          </w:p>
        </w:tc>
        <w:tc>
          <w:tcPr>
            <w:tcW w:w="12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Стоимость работ, руб. </w:t>
            </w:r>
          </w:p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 = (</w:t>
            </w:r>
            <w:hyperlink w:anchor="P3836">
              <w:r>
                <w:rPr>
                  <w:rStyle w:val="Hyperlink"/>
                  <w:rFonts w:cs="Times New Roman" w:ascii="Times New Roman" w:hAnsi="Times New Roman"/>
                </w:rPr>
                <w:t>гр. 6</w:t>
              </w:r>
            </w:hyperlink>
            <w:r>
              <w:rPr>
                <w:rFonts w:cs="Times New Roman" w:ascii="Times New Roman" w:hAnsi="Times New Roman"/>
              </w:rPr>
              <w:t xml:space="preserve"> x </w:t>
            </w:r>
            <w:hyperlink w:anchor="P3837">
              <w:r>
                <w:rPr>
                  <w:rStyle w:val="Hyperlink"/>
                  <w:rFonts w:cs="Times New Roman" w:ascii="Times New Roman" w:hAnsi="Times New Roman"/>
                </w:rPr>
                <w:t>гр. 7</w:t>
              </w:r>
            </w:hyperlink>
            <w:r>
              <w:rPr>
                <w:rFonts w:cs="Times New Roman" w:ascii="Times New Roman" w:hAnsi="Times New Roman"/>
              </w:rPr>
              <w:t xml:space="preserve"> x </w:t>
            </w:r>
            <w:hyperlink w:anchor="P3838">
              <w:r>
                <w:rPr>
                  <w:rStyle w:val="Hyperlink"/>
                  <w:rFonts w:cs="Times New Roman" w:ascii="Times New Roman" w:hAnsi="Times New Roman"/>
                </w:rPr>
                <w:t>гр. 8</w:t>
              </w:r>
            </w:hyperlink>
            <w:r>
              <w:rPr>
                <w:rFonts w:cs="Times New Roman" w:ascii="Times New Roman" w:hAnsi="Times New Roman"/>
              </w:rPr>
              <w:t xml:space="preserve"> x </w:t>
            </w:r>
            <w:hyperlink w:anchor="P3839">
              <w:r>
                <w:rPr>
                  <w:rStyle w:val="Hyperlink"/>
                  <w:rFonts w:cs="Times New Roman" w:ascii="Times New Roman" w:hAnsi="Times New Roman"/>
                </w:rPr>
                <w:t>гр. 9</w:t>
              </w:r>
            </w:hyperlink>
            <w:r>
              <w:rPr>
                <w:rFonts w:cs="Times New Roman" w:ascii="Times New Roman" w:hAnsi="Times New Roman"/>
              </w:rPr>
              <w:t>)</w:t>
            </w:r>
          </w:p>
        </w:tc>
      </w:tr>
      <w:tr>
        <w:trPr/>
        <w:tc>
          <w:tcPr>
            <w:tcW w:w="16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41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160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129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</w:tr>
      <w:tr>
        <w:trPr/>
        <w:tc>
          <w:tcPr>
            <w:tcW w:w="16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0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9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ConsPlusNormal1"/>
        <w:jc w:val="both"/>
        <w:rPr>
          <w:rFonts w:ascii="Times New Roman" w:hAnsi="Times New Roman" w:eastAsia="Calibri" w:cs="Times New Roman" w:eastAsiaTheme="minorHAnsi"/>
          <w:sz w:val="24"/>
          <w:szCs w:val="24"/>
        </w:rPr>
      </w:pPr>
      <w:r>
        <w:rPr>
          <w:rFonts w:eastAsia="Calibri" w:cs="Times New Roman" w:eastAsiaTheme="minorHAnsi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right="2947"/>
        <w:jc w:val="both"/>
        <w:rPr>
          <w:rFonts w:ascii="Times New Roman" w:hAnsi="Times New Roman" w:eastAsia="Calibri" w:eastAsiaTheme="minorHAnsi"/>
        </w:rPr>
      </w:pPr>
      <w:r>
        <w:rPr>
          <w:rFonts w:ascii="Times New Roman" w:hAnsi="Times New Roman"/>
        </w:rPr>
        <w:t>Руководитель</w:t>
      </w:r>
    </w:p>
    <w:p>
      <w:pPr>
        <w:pStyle w:val="Normal"/>
        <w:spacing w:lineRule="auto" w:line="240" w:before="0" w:after="0"/>
        <w:ind w:right="294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проектной организации _______________________________________________________________________________</w:t>
      </w:r>
    </w:p>
    <w:p>
      <w:pPr>
        <w:pStyle w:val="Normal"/>
        <w:spacing w:lineRule="auto" w:line="240" w:before="0" w:after="0"/>
        <w:ind w:right="2947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>
      <w:pPr>
        <w:pStyle w:val="Normal"/>
        <w:spacing w:lineRule="auto" w:line="240" w:before="0" w:after="0"/>
        <w:ind w:right="2947"/>
        <w:jc w:val="both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pStyle w:val="Normal"/>
        <w:spacing w:lineRule="auto" w:line="240" w:before="0" w:after="0"/>
        <w:ind w:right="294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Главный инженер</w:t>
      </w:r>
    </w:p>
    <w:p>
      <w:pPr>
        <w:pStyle w:val="Normal"/>
        <w:spacing w:lineRule="auto" w:line="240" w:before="0" w:after="0"/>
        <w:ind w:right="294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проекта _______________________________________________________________________________________________</w:t>
      </w:r>
    </w:p>
    <w:p>
      <w:pPr>
        <w:pStyle w:val="Normal"/>
        <w:spacing w:lineRule="auto" w:line="240" w:before="0" w:after="0"/>
        <w:ind w:right="2947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>
      <w:pPr>
        <w:pStyle w:val="Normal"/>
        <w:spacing w:lineRule="auto" w:line="240" w:before="0" w:after="0"/>
        <w:ind w:right="2947"/>
        <w:jc w:val="both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pStyle w:val="Normal"/>
        <w:spacing w:lineRule="auto" w:line="240" w:before="0" w:after="0"/>
        <w:ind w:right="2947"/>
        <w:jc w:val="both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sectPr>
          <w:footerReference w:type="default" r:id="rId79"/>
          <w:footerReference w:type="first" r:id="rId80"/>
          <w:footnotePr>
            <w:numFmt w:val="decimal"/>
            <w:numRestart w:val="eachSect"/>
          </w:footnotePr>
          <w:type w:val="nextPage"/>
          <w:pgSz w:orient="landscape" w:w="16838" w:h="11906"/>
          <w:pgMar w:left="1418" w:right="851" w:gutter="0" w:header="0" w:top="1134" w:footer="709" w:bottom="1134"/>
          <w:pgNumType w:fmt="decimal"/>
          <w:formProt w:val="false"/>
          <w:textDirection w:val="lrTb"/>
          <w:docGrid w:type="default" w:linePitch="360" w:charSpace="0"/>
        </w:sectPr>
        <w:pStyle w:val="ConsPlusNormal1"/>
        <w:ind w:hanging="0"/>
        <w:jc w:val="both"/>
        <w:rPr>
          <w:rFonts w:ascii="Times New Roman" w:hAnsi="Times New Roman" w:cs="Times New Roman"/>
          <w:sz w:val="22"/>
          <w:szCs w:val="22"/>
        </w:rPr>
      </w:pPr>
      <w:r>
        <w:rPr/>
        <w:object>
          <v:shapetype id="_x0000_tole_rId77" coordsize="21600,21600" o:spt="ole_rId77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77" type="_x0000_tole_rId77" style="width:79.45pt;height:50.65pt;mso-wrap-distance-right:0pt" filled="f" o:ole="">
            <v:imagedata r:id="rId78" o:title=""/>
          </v:shape>
          <o:OLEObject Type="Embed" ProgID="Excel.Sheet.12" ShapeID="ole_rId77" DrawAspect="Icon" ObjectID="_260302984" r:id="rId77"/>
        </w:objec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Образец сметного расчета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 командировочные расходы (форма 4п)</w:t>
      </w:r>
    </w:p>
    <w:p>
      <w:pPr>
        <w:pStyle w:val="ConsPlusNormal1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tbl>
      <w:tblPr>
        <w:tblW w:w="15583" w:type="dxa"/>
        <w:jc w:val="left"/>
        <w:tblInd w:w="-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492"/>
        <w:gridCol w:w="1907"/>
        <w:gridCol w:w="1844"/>
        <w:gridCol w:w="6"/>
        <w:gridCol w:w="1977"/>
        <w:gridCol w:w="7"/>
        <w:gridCol w:w="2683"/>
        <w:gridCol w:w="5"/>
        <w:gridCol w:w="1270"/>
        <w:gridCol w:w="6"/>
        <w:gridCol w:w="1979"/>
        <w:gridCol w:w="6"/>
        <w:gridCol w:w="1982"/>
        <w:gridCol w:w="1417"/>
      </w:tblGrid>
      <w:tr>
        <w:trPr>
          <w:trHeight w:val="644" w:hRule="atLeast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19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Пункт назначения</w:t>
            </w:r>
          </w:p>
        </w:tc>
        <w:tc>
          <w:tcPr>
            <w:tcW w:w="184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специалистов</w:t>
            </w:r>
          </w:p>
        </w:tc>
        <w:tc>
          <w:tcPr>
            <w:tcW w:w="1983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Проезд к месту командировки (туда и обратно)</w:t>
            </w:r>
          </w:p>
        </w:tc>
        <w:tc>
          <w:tcPr>
            <w:tcW w:w="2690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Проживание в номере гостиницы класса "3 звезды", </w:t>
            </w:r>
          </w:p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 чел/сутки.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Суточные</w:t>
            </w:r>
          </w:p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 сутки/руб.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Продолжительность командировки, сутки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Продолжительность проживания в гостинице, сутки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Итого затрат, рубли</w:t>
            </w:r>
          </w:p>
        </w:tc>
      </w:tr>
      <w:tr>
        <w:trPr/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90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983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2690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985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1988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</w:tr>
      <w:tr>
        <w:trPr/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0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83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85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88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0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83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85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88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0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83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85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88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4249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Итого по сметному расчету</w:t>
            </w:r>
          </w:p>
        </w:tc>
        <w:tc>
          <w:tcPr>
            <w:tcW w:w="1984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88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6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85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8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ConsPlusNormal1"/>
        <w:jc w:val="both"/>
        <w:rPr>
          <w:rFonts w:ascii="Times New Roman" w:hAnsi="Times New Roman" w:eastAsia="Calibri" w:cs="Times New Roman" w:eastAsiaTheme="minorHAnsi"/>
          <w:sz w:val="22"/>
          <w:szCs w:val="22"/>
        </w:rPr>
      </w:pPr>
      <w:r>
        <w:rPr>
          <w:rFonts w:eastAsia="Calibri" w:cs="Times New Roman" w:eastAsiaTheme="minorHAnsi"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ind w:right="2947"/>
        <w:jc w:val="both"/>
        <w:rPr>
          <w:rFonts w:ascii="Times New Roman" w:hAnsi="Times New Roman" w:eastAsia="Calibri" w:eastAsiaTheme="minorHAnsi"/>
        </w:rPr>
      </w:pPr>
      <w:r>
        <w:rPr>
          <w:rFonts w:ascii="Times New Roman" w:hAnsi="Times New Roman"/>
        </w:rPr>
        <w:t>Руководитель</w:t>
      </w:r>
    </w:p>
    <w:p>
      <w:pPr>
        <w:pStyle w:val="Normal"/>
        <w:spacing w:lineRule="auto" w:line="240" w:before="0" w:after="0"/>
        <w:ind w:right="294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проектной организации ________________________________________________________________________________</w:t>
      </w:r>
    </w:p>
    <w:p>
      <w:pPr>
        <w:pStyle w:val="Normal"/>
        <w:spacing w:lineRule="auto" w:line="240" w:before="0" w:after="0"/>
        <w:ind w:right="2947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>
      <w:pPr>
        <w:pStyle w:val="Normal"/>
        <w:spacing w:lineRule="auto" w:line="240" w:before="0" w:after="0"/>
        <w:ind w:right="2947"/>
        <w:jc w:val="both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pStyle w:val="Normal"/>
        <w:spacing w:lineRule="auto" w:line="240" w:before="0" w:after="0"/>
        <w:ind w:right="294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Главный инженер</w:t>
      </w:r>
    </w:p>
    <w:p>
      <w:pPr>
        <w:pStyle w:val="Normal"/>
        <w:spacing w:lineRule="auto" w:line="240" w:before="0" w:after="0"/>
        <w:ind w:right="294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проекта _____________________________________________________________________________________________</w:t>
      </w:r>
    </w:p>
    <w:p>
      <w:pPr>
        <w:pStyle w:val="Normal"/>
        <w:spacing w:lineRule="auto" w:line="240" w:before="0" w:after="0"/>
        <w:ind w:right="2947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>
      <w:pPr>
        <w:pStyle w:val="Normal"/>
        <w:spacing w:lineRule="auto" w:line="240" w:before="0" w:after="0"/>
        <w:ind w:right="2947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pStyle w:val="Normal"/>
        <w:spacing w:lineRule="auto" w:line="240" w:before="0" w:after="0"/>
        <w:ind w:right="2947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pStyle w:val="Normal"/>
        <w:spacing w:lineRule="auto" w:line="240" w:before="0" w:after="0"/>
        <w:ind w:right="2947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sectPr>
          <w:footerReference w:type="default" r:id="rId83"/>
          <w:footerReference w:type="first" r:id="rId84"/>
          <w:footnotePr>
            <w:numFmt w:val="decimal"/>
            <w:numRestart w:val="eachSect"/>
          </w:footnotePr>
          <w:type w:val="nextPage"/>
          <w:pgSz w:orient="landscape" w:w="16838" w:h="11906"/>
          <w:pgMar w:left="1560" w:right="709" w:gutter="0" w:header="0" w:top="1304" w:footer="709" w:bottom="924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ind w:right="2947"/>
        <w:jc w:val="both"/>
        <w:rPr>
          <w:rFonts w:ascii="Times New Roman" w:hAnsi="Times New Roman"/>
          <w:i/>
          <w:i/>
          <w:iCs/>
        </w:rPr>
      </w:pPr>
      <w:r>
        <w:rPr/>
        <w:object>
          <v:shapetype id="_x0000_tole_rId81" coordsize="21600,21600" o:spt="ole_rId81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81" type="_x0000_tole_rId81" style="width:79.45pt;height:50.65pt;mso-wrap-distance-right:0pt" filled="f" o:ole="">
            <v:imagedata r:id="rId82" o:title=""/>
          </v:shape>
          <o:OLEObject Type="Embed" ProgID="Excel.Sheet.12" ShapeID="ole_rId81" DrawAspect="Icon" ObjectID="_2000245703" r:id="rId81"/>
        </w:object>
      </w:r>
    </w:p>
    <w:p>
      <w:pPr>
        <w:pStyle w:val="Normal"/>
        <w:spacing w:lineRule="auto" w:line="240" w:before="0" w:after="0"/>
        <w:ind w:left="5811"/>
        <w:contextualSpacing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 3.1</w:t>
      </w:r>
    </w:p>
    <w:p>
      <w:pPr>
        <w:pStyle w:val="Normal"/>
        <w:spacing w:lineRule="auto" w:line="240" w:before="0" w:after="0"/>
        <w:ind w:left="5811"/>
        <w:contextualSpacing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НИР/НИОКР</w:t>
      </w:r>
    </w:p>
    <w:tbl>
      <w:tblPr>
        <w:tblW w:w="1485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229"/>
        <w:gridCol w:w="238"/>
        <w:gridCol w:w="2186"/>
        <w:gridCol w:w="1095"/>
        <w:gridCol w:w="306"/>
        <w:gridCol w:w="215"/>
        <w:gridCol w:w="1583"/>
      </w:tblGrid>
      <w:tr>
        <w:trPr>
          <w:trHeight w:val="20" w:hRule="atLeast"/>
        </w:trPr>
        <w:tc>
          <w:tcPr>
            <w:tcW w:w="922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</w:t>
            </w:r>
            <w:r>
              <w:rPr>
                <w:rFonts w:ascii="Times New Roman" w:hAnsi="Times New Roman"/>
              </w:rPr>
              <w:t xml:space="preserve">к Договору    от___ ______202___  №_________ 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2186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tcBorders/>
            <w:shd w:color="auto" w:fill="FFFFFF" w:val="clear"/>
          </w:tcPr>
          <w:p>
            <w:pPr>
              <w:pStyle w:val="Normal"/>
              <w:tabs>
                <w:tab w:val="clear" w:pos="709"/>
                <w:tab w:val="left" w:pos="627" w:leader="none"/>
              </w:tabs>
              <w:spacing w:lineRule="auto" w:line="240" w:before="0" w:after="0"/>
              <w:ind w:hanging="1332" w:left="-526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5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83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70" w:hRule="atLeast"/>
        </w:trPr>
        <w:tc>
          <w:tcPr>
            <w:tcW w:w="922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38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281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21" w:type="dxa"/>
            <w:gridSpan w:val="2"/>
            <w:tcBorders/>
            <w:shd w:color="auto" w:fill="FFFFFF" w:val="clea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83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1653" w:type="dxa"/>
            <w:gridSpan w:val="3"/>
            <w:tcBorders/>
          </w:tcPr>
          <w:tbl>
            <w:tblPr>
              <w:tblW w:w="9575" w:type="dxa"/>
              <w:jc w:val="left"/>
              <w:tblInd w:w="0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noHBand="0" w:noVBand="0" w:firstColumn="0" w:lastRow="0" w:lastColumn="0" w:firstRow="0"/>
            </w:tblPr>
            <w:tblGrid>
              <w:gridCol w:w="977"/>
              <w:gridCol w:w="2695"/>
              <w:gridCol w:w="1783"/>
              <w:gridCol w:w="4119"/>
            </w:tblGrid>
            <w:tr>
              <w:trPr/>
              <w:tc>
                <w:tcPr>
                  <w:tcW w:w="9574" w:type="dxa"/>
                  <w:gridSpan w:val="4"/>
                  <w:tcBorders/>
                </w:tcPr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СВОДНАЯ СМЕТА №</w:t>
                  </w:r>
                </w:p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 xml:space="preserve">на </w:t>
                  </w:r>
                  <w:r>
                    <w:rPr>
                      <w:rFonts w:ascii="Times New Roman" w:hAnsi="Times New Roman"/>
                    </w:rPr>
                    <w:t>НИР/НИОКР</w:t>
                  </w:r>
                </w:p>
                <w:p>
                  <w:pPr>
                    <w:pStyle w:val="Normal"/>
                    <w:spacing w:lineRule="auto" w:line="240" w:before="0" w:after="0"/>
                    <w:contextualSpacing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_________________________________________________________________________________</w:t>
                  </w:r>
                </w:p>
                <w:p>
                  <w:pPr>
                    <w:pStyle w:val="Normal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i/>
                      <w:i/>
                      <w:iCs/>
                    </w:rPr>
                  </w:pPr>
                  <w:r>
                    <w:rPr>
                      <w:rFonts w:ascii="Times New Roman" w:hAnsi="Times New Roman"/>
                      <w:i/>
                      <w:iCs/>
                    </w:rPr>
                    <w:t>(наименование объекта)</w:t>
                  </w:r>
                </w:p>
                <w:p>
                  <w:pPr>
                    <w:pStyle w:val="Normal"/>
                    <w:spacing w:lineRule="auto" w:line="240" w:before="0" w:after="0"/>
                    <w:contextualSpacing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Заказчик ___________________________________________________________________________</w:t>
                  </w:r>
                </w:p>
                <w:p>
                  <w:pPr>
                    <w:pStyle w:val="Normal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i/>
                      <w:i/>
                      <w:iCs/>
                    </w:rPr>
                  </w:pPr>
                  <w:r>
                    <w:rPr>
                      <w:rFonts w:ascii="Times New Roman" w:hAnsi="Times New Roman"/>
                      <w:i/>
                      <w:iCs/>
                    </w:rPr>
                    <w:t>(наименование организации)</w:t>
                  </w:r>
                </w:p>
                <w:p>
                  <w:pPr>
                    <w:pStyle w:val="Normal"/>
                    <w:spacing w:lineRule="auto" w:line="240" w:before="0" w:after="0"/>
                    <w:contextualSpacing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Проектная организация ______________________________________________________________</w:t>
                  </w:r>
                </w:p>
                <w:p>
                  <w:pPr>
                    <w:pStyle w:val="Normal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i/>
                      <w:i/>
                      <w:iCs/>
                    </w:rPr>
                  </w:pPr>
                  <w:r>
                    <w:rPr>
                      <w:rFonts w:ascii="Times New Roman" w:hAnsi="Times New Roman"/>
                      <w:i/>
                      <w:iCs/>
                    </w:rPr>
                    <w:t>(наименование организации)</w:t>
                  </w:r>
                </w:p>
                <w:p>
                  <w:pPr>
                    <w:pStyle w:val="Normal"/>
                    <w:spacing w:lineRule="auto" w:line="240" w:before="0" w:after="0"/>
                    <w:contextualSpacing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Составлена в уровне цен на ___________ 20__ г.</w:t>
                  </w:r>
                </w:p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>
                <w:trHeight w:val="754" w:hRule="atLeast"/>
              </w:trPr>
              <w:tc>
                <w:tcPr>
                  <w:tcW w:w="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N№ п/п</w:t>
                  </w:r>
                </w:p>
              </w:tc>
              <w:tc>
                <w:tcPr>
                  <w:tcW w:w="26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 xml:space="preserve">Перечень (наименование) выполняемых работ </w:t>
                  </w:r>
                </w:p>
              </w:tc>
              <w:tc>
                <w:tcPr>
                  <w:tcW w:w="1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Ссылка на № смет и расчетов</w:t>
                  </w:r>
                </w:p>
              </w:tc>
              <w:tc>
                <w:tcPr>
                  <w:tcW w:w="4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Сметная стоимость, руб.</w:t>
                  </w:r>
                </w:p>
              </w:tc>
            </w:tr>
            <w:tr>
              <w:trPr>
                <w:trHeight w:val="19" w:hRule="atLeast"/>
              </w:trPr>
              <w:tc>
                <w:tcPr>
                  <w:tcW w:w="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6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ind w:firstLine="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5</w:t>
                  </w:r>
                </w:p>
              </w:tc>
            </w:tr>
            <w:tr>
              <w:trPr>
                <w:trHeight w:val="274" w:hRule="atLeast"/>
              </w:trPr>
              <w:tc>
                <w:tcPr>
                  <w:tcW w:w="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I</w:t>
                  </w:r>
                </w:p>
              </w:tc>
              <w:tc>
                <w:tcPr>
                  <w:tcW w:w="26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1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4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>
                <w:trHeight w:val="493" w:hRule="atLeast"/>
              </w:trPr>
              <w:tc>
                <w:tcPr>
                  <w:tcW w:w="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6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1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4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>
                <w:trHeight w:val="281" w:hRule="atLeast"/>
              </w:trPr>
              <w:tc>
                <w:tcPr>
                  <w:tcW w:w="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II</w:t>
                  </w:r>
                </w:p>
              </w:tc>
              <w:tc>
                <w:tcPr>
                  <w:tcW w:w="26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1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4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/>
              <w:tc>
                <w:tcPr>
                  <w:tcW w:w="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6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1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4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&lt;X&gt;</w:t>
                  </w:r>
                </w:p>
              </w:tc>
            </w:tr>
            <w:tr>
              <w:trPr>
                <w:trHeight w:val="323" w:hRule="atLeast"/>
              </w:trPr>
              <w:tc>
                <w:tcPr>
                  <w:tcW w:w="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III</w:t>
                  </w:r>
                </w:p>
              </w:tc>
              <w:tc>
                <w:tcPr>
                  <w:tcW w:w="26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1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4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/>
              <w:tc>
                <w:tcPr>
                  <w:tcW w:w="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6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1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4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&lt;X&gt;</w:t>
                  </w:r>
                </w:p>
              </w:tc>
            </w:tr>
            <w:tr>
              <w:trPr/>
              <w:tc>
                <w:tcPr>
                  <w:tcW w:w="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6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Итого по видам работ</w:t>
                  </w:r>
                </w:p>
              </w:tc>
              <w:tc>
                <w:tcPr>
                  <w:tcW w:w="1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4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&lt;X&gt;</w:t>
                  </w:r>
                </w:p>
              </w:tc>
            </w:tr>
            <w:tr>
              <w:trPr/>
              <w:tc>
                <w:tcPr>
                  <w:tcW w:w="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6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ВСЕГО</w:t>
                  </w:r>
                </w:p>
              </w:tc>
              <w:tc>
                <w:tcPr>
                  <w:tcW w:w="1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4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&lt;X&gt;</w:t>
                  </w:r>
                </w:p>
              </w:tc>
            </w:tr>
          </w:tbl>
          <w:p>
            <w:pPr>
              <w:pStyle w:val="ConsPlusNormal1"/>
              <w:ind w:firstLine="720" w:right="-552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3199" w:type="dxa"/>
            <w:gridSpan w:val="4"/>
            <w:tcBorders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</w:tbl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Руководитель проектной организации _____________________________________________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Главный инженер проекта _______________________________________________________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Начальник ___________________ отдела __________________________________________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</w:rPr>
        <w:t xml:space="preserve">                             </w:t>
      </w:r>
      <w:r>
        <w:rPr>
          <w:rFonts w:ascii="Times New Roman" w:hAnsi="Times New Roman"/>
          <w:i/>
          <w:iCs/>
        </w:rPr>
        <w:t>(наименование)                            [подпись (инициалы, фамилия)]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Заказчик _____________________________________________________________________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[должность, подпись (инициалы, фамилия)]</w:t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  <w:r>
        <w:br w:type="page"/>
      </w:r>
    </w:p>
    <w:p>
      <w:pPr>
        <w:pStyle w:val="ListParagraph"/>
        <w:tabs>
          <w:tab w:val="clear" w:pos="709"/>
          <w:tab w:val="left" w:pos="1134" w:leader="none"/>
        </w:tabs>
        <w:suppressAutoHyphens w:val="true"/>
        <w:spacing w:lineRule="auto" w:line="240" w:before="0" w:after="0"/>
        <w:ind w:left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5811"/>
        <w:contextualSpacing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 3.1</w:t>
      </w:r>
    </w:p>
    <w:p>
      <w:pPr>
        <w:pStyle w:val="Normal"/>
        <w:spacing w:lineRule="auto" w:line="240" w:before="0" w:after="0"/>
        <w:ind w:left="5811"/>
        <w:contextualSpacing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НИР/НИОКР</w:t>
      </w:r>
    </w:p>
    <w:tbl>
      <w:tblPr>
        <w:tblW w:w="1485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229"/>
        <w:gridCol w:w="238"/>
        <w:gridCol w:w="2186"/>
        <w:gridCol w:w="1095"/>
        <w:gridCol w:w="306"/>
        <w:gridCol w:w="215"/>
        <w:gridCol w:w="1583"/>
      </w:tblGrid>
      <w:tr>
        <w:trPr>
          <w:trHeight w:val="20" w:hRule="atLeast"/>
        </w:trPr>
        <w:tc>
          <w:tcPr>
            <w:tcW w:w="922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</w:t>
            </w:r>
            <w:r>
              <w:rPr>
                <w:rFonts w:ascii="Times New Roman" w:hAnsi="Times New Roman"/>
              </w:rPr>
              <w:t xml:space="preserve">к Договору    от___ ______202___  №_________ 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2186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tcBorders/>
            <w:shd w:color="auto" w:fill="FFFFFF" w:val="clear"/>
          </w:tcPr>
          <w:p>
            <w:pPr>
              <w:pStyle w:val="Normal"/>
              <w:tabs>
                <w:tab w:val="clear" w:pos="709"/>
                <w:tab w:val="left" w:pos="627" w:leader="none"/>
              </w:tabs>
              <w:spacing w:lineRule="auto" w:line="240" w:before="0" w:after="0"/>
              <w:ind w:hanging="1332" w:left="-526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5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83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70" w:hRule="atLeast"/>
        </w:trPr>
        <w:tc>
          <w:tcPr>
            <w:tcW w:w="922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38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281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21" w:type="dxa"/>
            <w:gridSpan w:val="2"/>
            <w:tcBorders/>
            <w:shd w:color="auto" w:fill="FFFFFF" w:val="clea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83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1653" w:type="dxa"/>
            <w:gridSpan w:val="3"/>
            <w:tcBorders/>
          </w:tcPr>
          <w:tbl>
            <w:tblPr>
              <w:tblW w:w="9324" w:type="dxa"/>
              <w:jc w:val="left"/>
              <w:tblInd w:w="0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noHBand="0" w:noVBand="0" w:firstColumn="0" w:lastRow="0" w:lastColumn="0" w:firstRow="0"/>
            </w:tblPr>
            <w:tblGrid>
              <w:gridCol w:w="994"/>
              <w:gridCol w:w="3818"/>
              <w:gridCol w:w="1984"/>
              <w:gridCol w:w="2520"/>
              <w:gridCol w:w="8"/>
            </w:tblGrid>
            <w:tr>
              <w:trPr/>
              <w:tc>
                <w:tcPr>
                  <w:tcW w:w="9324" w:type="dxa"/>
                  <w:gridSpan w:val="5"/>
                  <w:tcBorders/>
                </w:tcPr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СВОДНАЯ СМЕТА (накопительная)</w:t>
                  </w:r>
                </w:p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 xml:space="preserve">на </w:t>
                  </w:r>
                  <w:r>
                    <w:rPr>
                      <w:rFonts w:ascii="Times New Roman" w:hAnsi="Times New Roman"/>
                    </w:rPr>
                    <w:t>НИР/НИОКР</w:t>
                  </w:r>
                </w:p>
                <w:p>
                  <w:pPr>
                    <w:pStyle w:val="Normal"/>
                    <w:spacing w:lineRule="auto" w:line="240" w:before="0" w:after="0"/>
                    <w:contextualSpacing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_________________________________________________________________________________</w:t>
                  </w:r>
                </w:p>
                <w:p>
                  <w:pPr>
                    <w:pStyle w:val="Normal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i/>
                      <w:i/>
                      <w:iCs/>
                    </w:rPr>
                  </w:pPr>
                  <w:r>
                    <w:rPr>
                      <w:rFonts w:ascii="Times New Roman" w:hAnsi="Times New Roman"/>
                      <w:i/>
                      <w:iCs/>
                    </w:rPr>
                    <w:t>(наименование объекта)</w:t>
                  </w:r>
                </w:p>
                <w:p>
                  <w:pPr>
                    <w:pStyle w:val="Normal"/>
                    <w:spacing w:lineRule="auto" w:line="240" w:before="0" w:after="0"/>
                    <w:contextualSpacing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Заказчик ___________________________________________________________________________</w:t>
                  </w:r>
                </w:p>
                <w:p>
                  <w:pPr>
                    <w:pStyle w:val="Normal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i/>
                      <w:i/>
                      <w:iCs/>
                    </w:rPr>
                  </w:pPr>
                  <w:r>
                    <w:rPr>
                      <w:rFonts w:ascii="Times New Roman" w:hAnsi="Times New Roman"/>
                      <w:i/>
                      <w:iCs/>
                    </w:rPr>
                    <w:t>(наименование организации)</w:t>
                  </w:r>
                </w:p>
                <w:p>
                  <w:pPr>
                    <w:pStyle w:val="Normal"/>
                    <w:spacing w:lineRule="auto" w:line="240" w:before="0" w:after="0"/>
                    <w:contextualSpacing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Проектная организация ______________________________________________________________</w:t>
                  </w:r>
                </w:p>
                <w:p>
                  <w:pPr>
                    <w:pStyle w:val="Normal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i/>
                      <w:i/>
                      <w:iCs/>
                    </w:rPr>
                  </w:pPr>
                  <w:r>
                    <w:rPr>
                      <w:rFonts w:ascii="Times New Roman" w:hAnsi="Times New Roman"/>
                      <w:i/>
                      <w:iCs/>
                    </w:rPr>
                    <w:t>(наименование организации)</w:t>
                  </w:r>
                </w:p>
                <w:p>
                  <w:pPr>
                    <w:pStyle w:val="Normal"/>
                    <w:spacing w:lineRule="auto" w:line="240" w:before="0" w:after="0"/>
                    <w:contextualSpacing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Составлена в уровне цен на ___________ 20__ г.</w:t>
                  </w:r>
                </w:p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>
                <w:trHeight w:val="754" w:hRule="atLeast"/>
              </w:trPr>
              <w:tc>
                <w:tcPr>
                  <w:tcW w:w="9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N№ п/п</w:t>
                  </w:r>
                </w:p>
              </w:tc>
              <w:tc>
                <w:tcPr>
                  <w:tcW w:w="38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 xml:space="preserve">Перечень (наименование) выполняемых работ 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Ссылка на № смет и расчетов</w:t>
                  </w:r>
                </w:p>
              </w:tc>
              <w:tc>
                <w:tcPr>
                  <w:tcW w:w="25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Сметная стоимость, руб.</w:t>
                  </w:r>
                </w:p>
              </w:tc>
              <w:tc>
                <w:tcPr>
                  <w:tcW w:w="8" w:type="dxa"/>
                  <w:tcBorders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19" w:hRule="atLeast"/>
              </w:trPr>
              <w:tc>
                <w:tcPr>
                  <w:tcW w:w="9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8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ind w:firstLine="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5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8" w:type="dxa"/>
                  <w:tcBorders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274" w:hRule="atLeast"/>
              </w:trPr>
              <w:tc>
                <w:tcPr>
                  <w:tcW w:w="9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I</w:t>
                  </w:r>
                </w:p>
              </w:tc>
              <w:tc>
                <w:tcPr>
                  <w:tcW w:w="38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ind w:hanging="0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lang w:val="en-US"/>
                    </w:rPr>
                    <w:t>Сметы основного договора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52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>
                <w:trHeight w:val="493" w:hRule="atLeast"/>
              </w:trPr>
              <w:tc>
                <w:tcPr>
                  <w:tcW w:w="9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38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ind w:hanging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52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>
                <w:trHeight w:val="493" w:hRule="atLeast"/>
              </w:trPr>
              <w:tc>
                <w:tcPr>
                  <w:tcW w:w="9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38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ind w:hanging="0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lang w:val="en-US"/>
                    </w:rPr>
                    <w:t>Итого по договору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52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>
                <w:trHeight w:val="281" w:hRule="atLeast"/>
              </w:trPr>
              <w:tc>
                <w:tcPr>
                  <w:tcW w:w="9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II</w:t>
                  </w:r>
                </w:p>
              </w:tc>
              <w:tc>
                <w:tcPr>
                  <w:tcW w:w="38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ind w:hanging="0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lang w:val="en-US"/>
                    </w:rPr>
                    <w:t>Исключено Дополнительным соглашением №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52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/>
              <w:tc>
                <w:tcPr>
                  <w:tcW w:w="9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38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ind w:hanging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52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/>
              <w:tc>
                <w:tcPr>
                  <w:tcW w:w="9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38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ind w:hanging="0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lang w:val="en-US"/>
                    </w:rPr>
                    <w:t>Итого исключено Дополнительным соглашением №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52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>
                <w:trHeight w:val="323" w:hRule="atLeast"/>
              </w:trPr>
              <w:tc>
                <w:tcPr>
                  <w:tcW w:w="9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III</w:t>
                  </w:r>
                </w:p>
              </w:tc>
              <w:tc>
                <w:tcPr>
                  <w:tcW w:w="38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ind w:hanging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lang w:val="en-US"/>
                    </w:rPr>
                    <w:t>Включено Дополнительным соглашением №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52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/>
              <w:tc>
                <w:tcPr>
                  <w:tcW w:w="9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38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ind w:hanging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52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/>
              <w:tc>
                <w:tcPr>
                  <w:tcW w:w="9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38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ind w:hanging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lang w:val="en-US"/>
                    </w:rPr>
                    <w:t>Итого Включено Дополнительным соглашением №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52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/>
              <w:tc>
                <w:tcPr>
                  <w:tcW w:w="9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38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ind w:hanging="0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lang w:val="en-US"/>
                    </w:rPr>
                    <w:t>ИТОГО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52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/>
              <w:tc>
                <w:tcPr>
                  <w:tcW w:w="9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38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Справочно:</w:t>
                  </w:r>
                </w:p>
                <w:p>
                  <w:pPr>
                    <w:pStyle w:val="ConsPlusNormal1"/>
                    <w:ind w:hanging="0"/>
                    <w:rPr>
                      <w:rFonts w:ascii="Times New Roman" w:hAnsi="Times New Roman" w:cs="Times New Roman"/>
                      <w:i/>
                      <w:i/>
                    </w:rPr>
                  </w:pPr>
                  <w:r>
                    <w:rPr>
                      <w:rFonts w:cs="Times New Roman" w:ascii="Times New Roman" w:hAnsi="Times New Roman"/>
                      <w:i/>
                    </w:rPr>
                    <w:t>Сумма Основного договора</w:t>
                  </w:r>
                </w:p>
                <w:p>
                  <w:pPr>
                    <w:pStyle w:val="ConsPlusNormal1"/>
                    <w:ind w:hanging="0"/>
                    <w:rPr>
                      <w:rFonts w:ascii="Times New Roman" w:hAnsi="Times New Roman" w:cs="Times New Roman"/>
                      <w:i/>
                      <w:i/>
                    </w:rPr>
                  </w:pPr>
                  <w:r>
                    <w:rPr>
                      <w:rFonts w:cs="Times New Roman" w:ascii="Times New Roman" w:hAnsi="Times New Roman"/>
                      <w:i/>
                    </w:rPr>
                    <w:t>Сумма уменьшения Договора на основании ДС№ (без НДС)</w:t>
                  </w:r>
                </w:p>
                <w:p>
                  <w:pPr>
                    <w:pStyle w:val="ConsPlusNormal1"/>
                    <w:ind w:hanging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i/>
                    </w:rPr>
                    <w:t>Сумма увеличения Договора на основании ДС№ (без НДС)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52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</w:tbl>
          <w:p>
            <w:pPr>
              <w:pStyle w:val="ConsPlusNormal1"/>
              <w:ind w:firstLine="720" w:right="-552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3199" w:type="dxa"/>
            <w:gridSpan w:val="4"/>
            <w:tcBorders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</w:tbl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Руководитель проектной организации _____________________________________________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Главный инженер проекта _______________________________________________________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Начальник ___________________ отдела __________________________________________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</w:rPr>
        <w:t xml:space="preserve">                             </w:t>
      </w:r>
      <w:r>
        <w:rPr>
          <w:rFonts w:ascii="Times New Roman" w:hAnsi="Times New Roman"/>
          <w:i/>
          <w:iCs/>
        </w:rPr>
        <w:t>(наименование)                            [подпись (инициалы, фамилия)]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Заказчик _____________________________________________________________________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[должность, подпись (инициалы, фамилия)]</w:t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  <w:r>
        <w:br w:type="page"/>
      </w:r>
    </w:p>
    <w:p>
      <w:pPr>
        <w:pStyle w:val="ListParagraph"/>
        <w:tabs>
          <w:tab w:val="clear" w:pos="709"/>
          <w:tab w:val="left" w:pos="1134" w:leader="none"/>
        </w:tabs>
        <w:suppressAutoHyphens w:val="true"/>
        <w:spacing w:lineRule="auto" w:line="240" w:before="0" w:after="0"/>
        <w:ind w:left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ListParagraph"/>
        <w:tabs>
          <w:tab w:val="clear" w:pos="709"/>
          <w:tab w:val="left" w:pos="1134" w:leader="none"/>
        </w:tabs>
        <w:suppressAutoHyphens w:val="true"/>
        <w:spacing w:lineRule="auto" w:line="240" w:before="0" w:after="0"/>
        <w:ind w:left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1134" w:left="5812"/>
        <w:contextualSpacing/>
        <w:jc w:val="right"/>
        <w:rPr>
          <w:rStyle w:val="Style15"/>
          <w:rFonts w:ascii="Times New Roman" w:hAnsi="Times New Roman"/>
          <w:iCs/>
        </w:rPr>
      </w:pPr>
      <w:r>
        <w:rPr>
          <w:rStyle w:val="Style15"/>
          <w:rFonts w:ascii="Times New Roman" w:hAnsi="Times New Roman"/>
          <w:iCs/>
        </w:rPr>
        <w:t>Приложение № 6</w:t>
      </w:r>
    </w:p>
    <w:p>
      <w:pPr>
        <w:pStyle w:val="Normal"/>
        <w:widowControl w:val="false"/>
        <w:pBdr>
          <w:bottom w:val="single" w:sz="4" w:space="1" w:color="000000"/>
        </w:pBdr>
        <w:tabs>
          <w:tab w:val="clear" w:pos="709"/>
          <w:tab w:val="left" w:pos="426" w:leader="none"/>
        </w:tabs>
        <w:spacing w:lineRule="auto" w:line="240" w:before="0" w:after="0"/>
        <w:contextualSpacing/>
        <w:jc w:val="right"/>
        <w:rPr>
          <w:rFonts w:ascii="Times New Roman" w:hAnsi="Times New Roman"/>
        </w:rPr>
      </w:pPr>
      <w:r>
        <w:rPr>
          <w:rStyle w:val="Style15"/>
          <w:rFonts w:ascii="Times New Roman" w:hAnsi="Times New Roman"/>
          <w:iCs/>
        </w:rPr>
        <w:t xml:space="preserve">к Основным положениям </w:t>
        <w:br/>
        <w:t xml:space="preserve">по установлению требований к оформлению </w:t>
        <w:br/>
        <w:t xml:space="preserve">и составлению сметной документации </w:t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ConsPlusNormal1"/>
        <w:widowControl/>
        <w:tabs>
          <w:tab w:val="clear" w:pos="709"/>
          <w:tab w:val="left" w:pos="1134" w:leader="none"/>
          <w:tab w:val="left" w:pos="1260" w:leader="none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Требования к оформлению и составлению</w:t>
      </w:r>
    </w:p>
    <w:p>
      <w:pPr>
        <w:pStyle w:val="ConsPlusNormal1"/>
        <w:widowControl/>
        <w:tabs>
          <w:tab w:val="clear" w:pos="709"/>
          <w:tab w:val="left" w:pos="900" w:leader="none"/>
          <w:tab w:val="left" w:pos="1134" w:leader="none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 xml:space="preserve">сметной документации с учетом работы в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ИС «Максимо»</w:t>
      </w:r>
      <w:r>
        <w:rPr>
          <w:rFonts w:cs="Times New Roman" w:ascii="Times New Roman" w:hAnsi="Times New Roman"/>
          <w:b/>
          <w:sz w:val="24"/>
          <w:szCs w:val="24"/>
        </w:rPr>
        <w:t>.</w:t>
      </w:r>
    </w:p>
    <w:p>
      <w:pPr>
        <w:pStyle w:val="ConsPlusNormal1"/>
        <w:widowControl/>
        <w:tabs>
          <w:tab w:val="clear" w:pos="709"/>
          <w:tab w:val="left" w:pos="1134" w:leader="none"/>
          <w:tab w:val="left" w:pos="1260" w:leader="none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1"/>
        <w:widowControl/>
        <w:numPr>
          <w:ilvl w:val="0"/>
          <w:numId w:val="2"/>
        </w:numPr>
        <w:tabs>
          <w:tab w:val="clear" w:pos="709"/>
          <w:tab w:val="left" w:pos="993" w:leader="none"/>
          <w:tab w:val="left" w:pos="1134" w:leader="none"/>
        </w:tabs>
        <w:ind w:firstLine="567"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</w:rPr>
        <w:t>Настоящие требования разработаны для единого подхода к оформлению и составлению сметной документации с учетом работы в ИС «Максимо» (интеграции «xml» - файла в ПК «Гранд-Смета»).</w:t>
      </w:r>
    </w:p>
    <w:p>
      <w:pPr>
        <w:pStyle w:val="ConsPlusNormal1"/>
        <w:widowControl/>
        <w:numPr>
          <w:ilvl w:val="0"/>
          <w:numId w:val="2"/>
        </w:numPr>
        <w:tabs>
          <w:tab w:val="clear" w:pos="709"/>
          <w:tab w:val="left" w:pos="993" w:leader="none"/>
          <w:tab w:val="left" w:pos="1134" w:leader="none"/>
        </w:tabs>
        <w:ind w:firstLine="567"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</w:rPr>
        <w:t xml:space="preserve">При составлении сметной документации с учетом работы в ИС «Максимо» руководствоваться документом «Система </w:t>
      </w:r>
      <w:r>
        <w:rPr>
          <w:rFonts w:cs="Times New Roman" w:ascii="Times New Roman" w:hAnsi="Times New Roman"/>
          <w:sz w:val="24"/>
          <w:szCs w:val="24"/>
          <w:lang w:val="en-US"/>
        </w:rPr>
        <w:t>MAXIMO</w:t>
      </w:r>
      <w:r>
        <w:rPr>
          <w:rFonts w:cs="Times New Roman" w:ascii="Times New Roman" w:hAnsi="Times New Roman"/>
          <w:sz w:val="24"/>
          <w:szCs w:val="24"/>
        </w:rPr>
        <w:t xml:space="preserve"> руководство пользователя».</w:t>
      </w:r>
    </w:p>
    <w:p>
      <w:pPr>
        <w:pStyle w:val="ConsPlusNormal1"/>
        <w:widowControl/>
        <w:numPr>
          <w:ilvl w:val="0"/>
          <w:numId w:val="2"/>
        </w:numPr>
        <w:tabs>
          <w:tab w:val="clear" w:pos="709"/>
          <w:tab w:val="left" w:pos="993" w:leader="none"/>
          <w:tab w:val="left" w:pos="1134" w:leader="none"/>
        </w:tabs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При учете в сметной документации стоимости МТР и оборудования, определенной Методом анализа ТКП; в графе обоснование указывать «Прайс», во вкладке ПК «Гранд-смета» «Дополнительная информация. Примечание». 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</w:t>
      </w:r>
      <w:r>
        <w:rPr>
          <w:rFonts w:cs="Times New Roman" w:ascii="Times New Roman" w:hAnsi="Times New Roman"/>
          <w:sz w:val="24"/>
          <w:szCs w:val="24"/>
        </w:rPr>
        <w:t xml:space="preserve">Во вкладке «Дополнительная информация. Примечание» в случае определения стоимости МТР и оборудования по ТКП указать: данные по поставщику: Наименование, ИНН, контактные данные; дату составления документа, дату и (или) сроки действия ценовых предложений, информацию о включении в цену отдельных затрат (перевозка, шефмонтаж, шефналадка и т.п.), а также НДС; информацию о стоимости материальных ресурсов, оборудования, работ и услуг с указанием единицы измерения, валюты расчета, курса пересчета (при использовании ценовой информации в валюте иностранного государства). </w:t>
      </w:r>
    </w:p>
    <w:p>
      <w:pPr>
        <w:pStyle w:val="ConsPlusNormal1"/>
        <w:widowControl/>
        <w:numPr>
          <w:ilvl w:val="0"/>
          <w:numId w:val="2"/>
        </w:numPr>
        <w:tabs>
          <w:tab w:val="clear" w:pos="709"/>
          <w:tab w:val="left" w:pos="993" w:leader="none"/>
          <w:tab w:val="left" w:pos="1134" w:leader="none"/>
        </w:tabs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 смете, при указании объема работ, материалов и оборудования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не допускается</w:t>
      </w:r>
      <w:r>
        <w:rPr>
          <w:rFonts w:cs="Times New Roman" w:ascii="Times New Roman" w:hAnsi="Times New Roman"/>
          <w:sz w:val="24"/>
          <w:szCs w:val="24"/>
        </w:rPr>
        <w:t>:</w:t>
      </w:r>
    </w:p>
    <w:p>
      <w:pPr>
        <w:pStyle w:val="ConsPlusNormal1"/>
        <w:widowControl/>
        <w:numPr>
          <w:ilvl w:val="0"/>
          <w:numId w:val="12"/>
        </w:numPr>
        <w:tabs>
          <w:tab w:val="clear" w:pos="709"/>
          <w:tab w:val="left" w:pos="993" w:leader="none"/>
          <w:tab w:val="left" w:pos="1134" w:leader="none"/>
        </w:tabs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использовать функцию «формула» в ПК «Гранд-смета»;</w:t>
      </w:r>
    </w:p>
    <w:p>
      <w:pPr>
        <w:pStyle w:val="ConsPlusNormal1"/>
        <w:widowControl/>
        <w:numPr>
          <w:ilvl w:val="0"/>
          <w:numId w:val="12"/>
        </w:numPr>
        <w:tabs>
          <w:tab w:val="clear" w:pos="709"/>
          <w:tab w:val="left" w:pos="993" w:leader="none"/>
          <w:tab w:val="left" w:pos="1134" w:leader="none"/>
        </w:tabs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указывать более 5-ти знаков после запятой (т.к. при интеграции в информационную систему (далее по тексту–ИС) «Максимо» может получиться иной результат, чем в версии ПК «Гранд-Смета»).</w:t>
      </w:r>
    </w:p>
    <w:p>
      <w:pPr>
        <w:pStyle w:val="ConsPlusNormal1"/>
        <w:widowControl/>
        <w:numPr>
          <w:ilvl w:val="0"/>
          <w:numId w:val="2"/>
        </w:numPr>
        <w:tabs>
          <w:tab w:val="clear" w:pos="709"/>
          <w:tab w:val="left" w:pos="993" w:leader="none"/>
          <w:tab w:val="left" w:pos="1134" w:leader="none"/>
        </w:tabs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расчете сметной стоимости рабочего задания (далее по тексту–РЗ), представленного в формате «</w:t>
      </w:r>
      <w:r>
        <w:rPr>
          <w:rFonts w:cs="Times New Roman" w:ascii="Times New Roman" w:hAnsi="Times New Roman"/>
          <w:sz w:val="24"/>
          <w:szCs w:val="24"/>
          <w:lang w:val="en-US"/>
        </w:rPr>
        <w:t>xml</w:t>
      </w:r>
      <w:r>
        <w:rPr>
          <w:rFonts w:cs="Times New Roman" w:ascii="Times New Roman" w:hAnsi="Times New Roman"/>
          <w:sz w:val="24"/>
          <w:szCs w:val="24"/>
        </w:rPr>
        <w:t xml:space="preserve">» - файла в ПК «Гранд-Смета»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запрещается</w:t>
      </w:r>
      <w:r>
        <w:rPr>
          <w:rFonts w:cs="Times New Roman" w:ascii="Times New Roman" w:hAnsi="Times New Roman"/>
          <w:sz w:val="24"/>
          <w:szCs w:val="24"/>
        </w:rPr>
        <w:t>:</w:t>
      </w:r>
    </w:p>
    <w:p>
      <w:pPr>
        <w:pStyle w:val="ConsPlusNormal1"/>
        <w:widowControl/>
        <w:numPr>
          <w:ilvl w:val="0"/>
          <w:numId w:val="13"/>
        </w:numPr>
        <w:tabs>
          <w:tab w:val="clear" w:pos="709"/>
          <w:tab w:val="left" w:pos="993" w:leader="none"/>
          <w:tab w:val="left" w:pos="1134" w:leader="none"/>
        </w:tabs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удалять первый раздел в РЗ и создавать раздел в смете перед 1-м разделом;</w:t>
      </w:r>
    </w:p>
    <w:p>
      <w:pPr>
        <w:pStyle w:val="ConsPlusNormal1"/>
        <w:widowControl/>
        <w:numPr>
          <w:ilvl w:val="0"/>
          <w:numId w:val="13"/>
        </w:numPr>
        <w:tabs>
          <w:tab w:val="clear" w:pos="709"/>
          <w:tab w:val="left" w:pos="993" w:leader="none"/>
          <w:tab w:val="left" w:pos="1134" w:leader="none"/>
        </w:tabs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удалять первую строку в каждом разделе, т.к. первая строка раздела содержит все настройки из ИС «Максимо» к данному РЗ. Можно в ней изменить шифр расценки, данные, но саму первую строку нужно сохранить;</w:t>
      </w:r>
    </w:p>
    <w:p>
      <w:pPr>
        <w:pStyle w:val="ConsPlusNormal1"/>
        <w:widowControl/>
        <w:numPr>
          <w:ilvl w:val="0"/>
          <w:numId w:val="13"/>
        </w:numPr>
        <w:tabs>
          <w:tab w:val="clear" w:pos="709"/>
          <w:tab w:val="left" w:pos="993" w:leader="none"/>
          <w:tab w:val="left" w:pos="1134" w:leader="none"/>
        </w:tabs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добавлять в смету отсутствующие там позиции по материалам и запчастям, отражая их как давальческие.</w:t>
      </w:r>
    </w:p>
    <w:p>
      <w:pPr>
        <w:pStyle w:val="ConsPlusNormal1"/>
        <w:widowControl/>
        <w:numPr>
          <w:ilvl w:val="0"/>
          <w:numId w:val="2"/>
        </w:numPr>
        <w:tabs>
          <w:tab w:val="clear" w:pos="709"/>
          <w:tab w:val="left" w:pos="993" w:leader="none"/>
          <w:tab w:val="left" w:pos="1134" w:leader="none"/>
        </w:tabs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 w:eastAsiaTheme="minorHAnsi"/>
          <w:sz w:val="24"/>
          <w:szCs w:val="24"/>
          <w:lang w:eastAsia="en-US"/>
        </w:rPr>
        <w:t>Результаты вычислений (построчные) и итоговые данные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eastAsia="Calibri" w:cs="Times New Roman" w:ascii="Times New Roman" w:hAnsi="Times New Roman" w:eastAsiaTheme="minorHAnsi"/>
          <w:sz w:val="24"/>
          <w:szCs w:val="24"/>
          <w:lang w:eastAsia="en-US"/>
        </w:rPr>
        <w:t xml:space="preserve">формируются в </w:t>
      </w:r>
      <w:r>
        <w:rPr>
          <w:rFonts w:cs="Times New Roman" w:ascii="Times New Roman" w:hAnsi="Times New Roman"/>
          <w:sz w:val="24"/>
          <w:szCs w:val="24"/>
        </w:rPr>
        <w:t xml:space="preserve">локальных сметных </w:t>
      </w:r>
      <w:r>
        <w:rPr>
          <w:rFonts w:eastAsia="Calibri" w:cs="Times New Roman" w:ascii="Times New Roman" w:hAnsi="Times New Roman" w:eastAsiaTheme="minorHAnsi"/>
          <w:sz w:val="24"/>
          <w:szCs w:val="24"/>
          <w:lang w:eastAsia="en-US"/>
        </w:rPr>
        <w:t xml:space="preserve"> расчетах (сметах) согласно формам,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eastAsia="Calibri" w:cs="Times New Roman" w:ascii="Times New Roman" w:hAnsi="Times New Roman" w:eastAsiaTheme="minorHAnsi"/>
          <w:sz w:val="24"/>
          <w:szCs w:val="24"/>
          <w:lang w:eastAsia="en-US"/>
        </w:rPr>
        <w:t>приведенным в Приложени</w:t>
      </w:r>
      <w:r>
        <w:rPr>
          <w:rFonts w:cs="Times New Roman" w:ascii="Times New Roman" w:hAnsi="Times New Roman"/>
          <w:sz w:val="24"/>
          <w:szCs w:val="24"/>
        </w:rPr>
        <w:t>и 1.1.,1.5</w:t>
      </w:r>
      <w:r>
        <w:rPr>
          <w:rFonts w:eastAsia="Calibri" w:cs="Times New Roman" w:ascii="Times New Roman" w:hAnsi="Times New Roman" w:eastAsiaTheme="minorHAnsi"/>
          <w:sz w:val="24"/>
          <w:szCs w:val="24"/>
          <w:lang w:eastAsia="en-US"/>
        </w:rPr>
        <w:t>, в сметных расчетах</w:t>
      </w:r>
      <w:r>
        <w:rPr>
          <w:rFonts w:cs="Times New Roman" w:ascii="Times New Roman" w:hAnsi="Times New Roman"/>
          <w:sz w:val="24"/>
          <w:szCs w:val="24"/>
        </w:rPr>
        <w:t xml:space="preserve"> на о</w:t>
      </w:r>
      <w:r>
        <w:rPr>
          <w:rFonts w:eastAsia="Calibri" w:cs="Times New Roman" w:ascii="Times New Roman" w:hAnsi="Times New Roman" w:eastAsiaTheme="minorHAnsi"/>
          <w:sz w:val="24"/>
          <w:szCs w:val="24"/>
          <w:lang w:eastAsia="en-US"/>
        </w:rPr>
        <w:t>тдельные виды затрат</w:t>
      </w:r>
      <w:r>
        <w:rPr>
          <w:rFonts w:cs="Times New Roman" w:ascii="Times New Roman" w:hAnsi="Times New Roman"/>
          <w:sz w:val="24"/>
          <w:szCs w:val="24"/>
        </w:rPr>
        <w:t>-</w:t>
      </w:r>
      <w:r>
        <w:rPr>
          <w:rFonts w:eastAsia="Calibri" w:cs="Times New Roman" w:ascii="Times New Roman" w:hAnsi="Times New Roman" w:eastAsiaTheme="minorHAnsi"/>
          <w:sz w:val="24"/>
          <w:szCs w:val="24"/>
          <w:lang w:eastAsia="en-US"/>
        </w:rPr>
        <w:t>в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eastAsia="Calibri" w:cs="Times New Roman" w:ascii="Times New Roman" w:hAnsi="Times New Roman" w:eastAsiaTheme="minorHAnsi"/>
          <w:sz w:val="24"/>
          <w:szCs w:val="24"/>
          <w:lang w:eastAsia="en-US"/>
        </w:rPr>
        <w:t>рублях с округлением до целых единиц,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eastAsia="Calibri" w:cs="Times New Roman" w:ascii="Times New Roman" w:hAnsi="Times New Roman" w:eastAsiaTheme="minorHAnsi"/>
          <w:sz w:val="24"/>
          <w:szCs w:val="24"/>
          <w:lang w:eastAsia="en-US"/>
        </w:rPr>
        <w:t>в объектньrх сметных расчетах (сметах), сводном сметном расчете стоимости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eastAsia="Calibri" w:cs="Times New Roman" w:ascii="Times New Roman" w:hAnsi="Times New Roman" w:eastAsiaTheme="minorHAnsi"/>
          <w:sz w:val="24"/>
          <w:szCs w:val="24"/>
          <w:lang w:eastAsia="en-US"/>
        </w:rPr>
        <w:t>строительства и сводке затрат в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eastAsia="Calibri" w:cs="Times New Roman" w:ascii="Times New Roman" w:hAnsi="Times New Roman" w:eastAsiaTheme="minorHAnsi"/>
          <w:sz w:val="24"/>
          <w:szCs w:val="24"/>
          <w:lang w:eastAsia="en-US"/>
        </w:rPr>
        <w:t>тысячах рублей с округлением до двух знаков</w:t>
      </w:r>
      <w:r>
        <w:rPr>
          <w:rFonts w:cs="Times New Roman" w:ascii="Times New Roman" w:hAnsi="Times New Roman"/>
          <w:sz w:val="24"/>
          <w:szCs w:val="24"/>
        </w:rPr>
        <w:t xml:space="preserve"> после запятой </w:t>
      </w:r>
    </w:p>
    <w:p>
      <w:pPr>
        <w:pStyle w:val="ConsPlusNormal1"/>
        <w:widowControl/>
        <w:numPr>
          <w:ilvl w:val="0"/>
          <w:numId w:val="2"/>
        </w:numPr>
        <w:tabs>
          <w:tab w:val="clear" w:pos="709"/>
          <w:tab w:val="left" w:pos="993" w:leader="none"/>
          <w:tab w:val="left" w:pos="1134" w:leader="none"/>
        </w:tabs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Нумерацию в ЛСР указывать по порядку.</w:t>
      </w:r>
    </w:p>
    <w:p>
      <w:pPr>
        <w:pStyle w:val="ConsPlusNormal1"/>
        <w:widowControl/>
        <w:numPr>
          <w:ilvl w:val="0"/>
          <w:numId w:val="2"/>
        </w:numPr>
        <w:tabs>
          <w:tab w:val="clear" w:pos="709"/>
          <w:tab w:val="left" w:pos="993" w:leader="none"/>
          <w:tab w:val="left" w:pos="1134" w:leader="none"/>
        </w:tabs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Сметная документация должна быть представлена в двух вариантах:</w:t>
      </w:r>
    </w:p>
    <w:p>
      <w:pPr>
        <w:pStyle w:val="ConsPlusNormal1"/>
        <w:widowControl/>
        <w:numPr>
          <w:ilvl w:val="0"/>
          <w:numId w:val="14"/>
        </w:numPr>
        <w:tabs>
          <w:tab w:val="clear" w:pos="709"/>
          <w:tab w:val="left" w:pos="993" w:leader="none"/>
          <w:tab w:val="left" w:pos="1134" w:leader="none"/>
        </w:tabs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 бумажном носителе (количество указано в конкурсной (иной) документации);</w:t>
      </w:r>
    </w:p>
    <w:p>
      <w:pPr>
        <w:sectPr>
          <w:footerReference w:type="default" r:id="rId85"/>
          <w:footerReference w:type="first" r:id="rId86"/>
          <w:footnotePr>
            <w:numFmt w:val="decimal"/>
            <w:numRestart w:val="eachSect"/>
          </w:footnotePr>
          <w:type w:val="nextPage"/>
          <w:pgSz w:w="11906" w:h="16838"/>
          <w:pgMar w:left="1701" w:right="850" w:gutter="0" w:header="0" w:top="0" w:footer="708" w:bottom="993"/>
          <w:pgNumType w:fmt="decimal"/>
          <w:formProt w:val="false"/>
          <w:textDirection w:val="lrTb"/>
          <w:docGrid w:type="default" w:linePitch="360" w:charSpace="0"/>
        </w:sectPr>
        <w:pStyle w:val="ConsPlusNormal1"/>
        <w:widowControl/>
        <w:numPr>
          <w:ilvl w:val="0"/>
          <w:numId w:val="14"/>
        </w:numPr>
        <w:tabs>
          <w:tab w:val="clear" w:pos="709"/>
          <w:tab w:val="left" w:pos="993" w:leader="none"/>
          <w:tab w:val="left" w:pos="1134" w:leader="none"/>
        </w:tabs>
        <w:ind w:firstLine="567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 электронном носителе (в формате «</w:t>
      </w:r>
      <w:r>
        <w:rPr>
          <w:rFonts w:cs="Times New Roman" w:ascii="Times New Roman" w:hAnsi="Times New Roman"/>
          <w:sz w:val="24"/>
          <w:szCs w:val="24"/>
          <w:lang w:val="en-US"/>
        </w:rPr>
        <w:t>xml</w:t>
      </w:r>
      <w:r>
        <w:rPr>
          <w:rFonts w:cs="Times New Roman" w:ascii="Times New Roman" w:hAnsi="Times New Roman"/>
          <w:sz w:val="24"/>
          <w:szCs w:val="24"/>
        </w:rPr>
        <w:t>», ПК «Гранд-Смета» и «Excel»), полностью соответствующему, бумажному варианту. Наименование файлов в формате ПК «Гранд-Смета» представленной сметной документации должны соответствовать наименованию «xml» -файлов, аналогично по суммам, указанным в упомянутых файлах.</w:t>
      </w:r>
    </w:p>
    <w:p>
      <w:pPr>
        <w:pStyle w:val="ListParagraph"/>
        <w:spacing w:lineRule="auto" w:line="240" w:before="0" w:after="0"/>
        <w:ind w:left="1429"/>
        <w:contextualSpacing/>
        <w:jc w:val="right"/>
        <w:rPr>
          <w:rStyle w:val="Style15"/>
          <w:rFonts w:ascii="Times New Roman" w:hAnsi="Times New Roman"/>
          <w:iCs/>
        </w:rPr>
      </w:pPr>
      <w:r>
        <w:rPr>
          <w:rStyle w:val="Style15"/>
          <w:rFonts w:ascii="Times New Roman" w:hAnsi="Times New Roman"/>
          <w:iCs/>
        </w:rPr>
        <w:t>Приложение № 7</w:t>
      </w:r>
    </w:p>
    <w:p>
      <w:pPr>
        <w:pStyle w:val="ListParagraph"/>
        <w:widowControl w:val="false"/>
        <w:pBdr>
          <w:bottom w:val="single" w:sz="4" w:space="1" w:color="000000"/>
        </w:pBdr>
        <w:tabs>
          <w:tab w:val="clear" w:pos="709"/>
          <w:tab w:val="left" w:pos="426" w:leader="none"/>
        </w:tabs>
        <w:spacing w:lineRule="auto" w:line="240" w:before="0" w:after="0"/>
        <w:ind w:left="0"/>
        <w:contextualSpacing/>
        <w:jc w:val="right"/>
        <w:rPr>
          <w:rFonts w:ascii="Times New Roman" w:hAnsi="Times New Roman"/>
        </w:rPr>
      </w:pPr>
      <w:r>
        <w:rPr>
          <w:rStyle w:val="Style15"/>
          <w:rFonts w:ascii="Times New Roman" w:hAnsi="Times New Roman"/>
          <w:iCs/>
        </w:rPr>
        <w:t xml:space="preserve">к Основным положениям </w:t>
        <w:br/>
        <w:t xml:space="preserve">по установлению требований к оформлению </w:t>
        <w:br/>
        <w:t xml:space="preserve">и составлению сметной документации </w:t>
      </w:r>
    </w:p>
    <w:p>
      <w:pPr>
        <w:pStyle w:val="ListParagraph"/>
        <w:tabs>
          <w:tab w:val="clear" w:pos="709"/>
          <w:tab w:val="left" w:pos="1134" w:leader="none"/>
        </w:tabs>
        <w:spacing w:lineRule="auto" w:line="240" w:before="0" w:after="0"/>
        <w:ind w:left="142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ConsPlusNormal1"/>
        <w:widowControl/>
        <w:tabs>
          <w:tab w:val="clear" w:pos="709"/>
          <w:tab w:val="left" w:pos="900" w:leader="none"/>
          <w:tab w:val="left" w:pos="1134" w:leader="none"/>
        </w:tabs>
        <w:ind w:hanging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Основные условия ценообразования к договору</w:t>
      </w:r>
    </w:p>
    <w:p>
      <w:pPr>
        <w:pStyle w:val="ConsPlusNormal1"/>
        <w:widowControl/>
        <w:tabs>
          <w:tab w:val="clear" w:pos="709"/>
          <w:tab w:val="left" w:pos="1134" w:leader="none"/>
        </w:tabs>
        <w:ind w:hang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tabs>
          <w:tab w:val="clear" w:pos="709"/>
          <w:tab w:val="left" w:pos="13892" w:leader="none"/>
        </w:tabs>
        <w:spacing w:lineRule="auto" w:line="240" w:before="0" w:after="0"/>
        <w:ind w:right="253"/>
        <w:contextualSpacing/>
        <w:jc w:val="center"/>
        <w:rPr>
          <w:rFonts w:ascii="Times New Roman" w:hAnsi="Times New Roman"/>
          <w:sz w:val="20"/>
          <w:szCs w:val="20"/>
        </w:rPr>
      </w:pPr>
      <w:r>
        <w:rPr/>
        <w:object>
          <v:shapetype id="_x0000_tole_rId87" coordsize="21600,21600" o:spt="ole_rId87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87" type="_x0000_tole_rId87" style="width:76.8pt;height:49.6pt;mso-wrap-distance-right:0pt" filled="f" o:ole="">
            <v:imagedata r:id="rId88" o:title=""/>
          </v:shape>
          <o:OLEObject Type="Embed" ProgID="Excel.Sheet.12" ShapeID="ole_rId87" DrawAspect="Icon" ObjectID="_981707323" r:id="rId87"/>
        </w:object>
      </w:r>
    </w:p>
    <w:sectPr>
      <w:footerReference w:type="default" r:id="rId89"/>
      <w:footerReference w:type="first" r:id="rId90"/>
      <w:footnotePr>
        <w:numFmt w:val="decimal"/>
        <w:numRestart w:val="eachSect"/>
      </w:footnotePr>
      <w:type w:val="nextPage"/>
      <w:pgSz w:w="11906" w:h="16838"/>
      <w:pgMar w:left="1134" w:right="851" w:gutter="0" w:header="0" w:top="1134" w:footer="709" w:bottom="992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PT Sans"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PT Sans">
    <w:charset w:val="01"/>
    <w:family w:val="swiss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16839065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056186271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15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063046772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19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376507007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20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32261581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23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652059149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25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814894471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2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059501017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29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2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655229979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32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2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820752149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33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2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869840090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34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2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669195597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38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2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3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927431287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39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3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3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917557151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40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3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3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377767741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44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3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3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944847373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48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3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3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492795893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51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3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416664157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4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46967224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52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4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54</w:t>
    </w:r>
    <w:r>
      <w:rPr/>
      <w:fldChar w:fldCharType="end"/>
    </w:r>
  </w:p>
  <w:p>
    <w:pPr>
      <w:pStyle w:val="Footer"/>
      <w:rPr/>
    </w:pPr>
    <w:r>
      <w:rPr/>
    </w:r>
  </w:p>
</w:ftr>
</file>

<file path=word/footer4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55</w:t>
    </w:r>
    <w:r>
      <w:rPr/>
      <w:fldChar w:fldCharType="end"/>
    </w:r>
  </w:p>
  <w:p>
    <w:pPr>
      <w:pStyle w:val="Footer"/>
      <w:rPr/>
    </w:pPr>
    <w:r>
      <w:rPr/>
    </w:r>
  </w:p>
</w:ftr>
</file>

<file path=word/footer4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56</w:t>
    </w:r>
    <w:r>
      <w:rPr/>
      <w:fldChar w:fldCharType="end"/>
    </w:r>
  </w:p>
  <w:p>
    <w:pPr>
      <w:pStyle w:val="Footer"/>
      <w:rPr/>
    </w:pPr>
    <w:r>
      <w:rPr/>
    </w:r>
  </w:p>
</w:ftr>
</file>

<file path=word/footer4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59</w:t>
    </w:r>
    <w:r>
      <w:rPr/>
      <w:fldChar w:fldCharType="end"/>
    </w:r>
  </w:p>
  <w:p>
    <w:pPr>
      <w:pStyle w:val="Footer"/>
      <w:rPr/>
    </w:pPr>
    <w:r>
      <w:rPr/>
    </w:r>
  </w:p>
</w:ftr>
</file>

<file path=word/footer4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5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62</w:t>
    </w:r>
    <w:r>
      <w:rPr/>
      <w:fldChar w:fldCharType="end"/>
    </w:r>
  </w:p>
  <w:p>
    <w:pPr>
      <w:pStyle w:val="Footer"/>
      <w:rPr/>
    </w:pPr>
    <w:r>
      <w:rPr/>
    </w:r>
  </w:p>
</w:ftr>
</file>

<file path=word/footer5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5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63</w:t>
    </w:r>
    <w:r>
      <w:rPr/>
      <w:fldChar w:fldCharType="end"/>
    </w:r>
  </w:p>
  <w:p>
    <w:pPr>
      <w:pStyle w:val="Footer"/>
      <w:rPr/>
    </w:pPr>
    <w:r>
      <w:rPr/>
    </w:r>
  </w:p>
</w:ftr>
</file>

<file path=word/footer5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5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64</w:t>
    </w:r>
    <w:r>
      <w:rPr/>
      <w:fldChar w:fldCharType="end"/>
    </w:r>
  </w:p>
  <w:p>
    <w:pPr>
      <w:pStyle w:val="Footer"/>
      <w:rPr/>
    </w:pPr>
    <w:r>
      <w:rPr/>
    </w:r>
  </w:p>
</w:ftr>
</file>

<file path=word/footer5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5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65</w:t>
    </w:r>
    <w:r>
      <w:rPr/>
      <w:fldChar w:fldCharType="end"/>
    </w:r>
  </w:p>
  <w:p>
    <w:pPr>
      <w:pStyle w:val="Footer"/>
      <w:rPr/>
    </w:pPr>
    <w:r>
      <w:rPr/>
    </w:r>
  </w:p>
</w:ftr>
</file>

<file path=word/footer5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5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66</w:t>
    </w:r>
    <w:r>
      <w:rPr/>
      <w:fldChar w:fldCharType="end"/>
    </w:r>
  </w:p>
  <w:p>
    <w:pPr>
      <w:pStyle w:val="Footer"/>
      <w:rPr/>
    </w:pPr>
    <w:r>
      <w:rPr/>
    </w:r>
  </w:p>
</w:ftr>
</file>

<file path=word/footer5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53583214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11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6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70</w:t>
    </w:r>
    <w:r>
      <w:rPr/>
      <w:fldChar w:fldCharType="end"/>
    </w:r>
  </w:p>
  <w:p>
    <w:pPr>
      <w:pStyle w:val="Footer"/>
      <w:rPr/>
    </w:pPr>
    <w:r>
      <w:rPr/>
    </w:r>
  </w:p>
</w:ftr>
</file>

<file path=word/footer6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71</w:t>
    </w:r>
    <w:r>
      <w:rPr/>
      <w:fldChar w:fldCharType="end"/>
    </w:r>
  </w:p>
  <w:p>
    <w:pPr>
      <w:pStyle w:val="Footer"/>
      <w:rPr/>
    </w:pPr>
    <w:r>
      <w:rPr/>
    </w:r>
  </w:p>
</w:ftr>
</file>

<file path=word/footer6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847883115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14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120" w:after="120"/>
        <w:jc w:val="both"/>
        <w:rPr>
          <w:rStyle w:val="Style15"/>
          <w:rFonts w:ascii="Times New Roman" w:hAnsi="Times New Roman"/>
          <w:b w:val="false"/>
          <w:iCs/>
          <w:sz w:val="20"/>
          <w:szCs w:val="20"/>
        </w:rPr>
      </w:pPr>
      <w:r>
        <w:rPr>
          <w:rStyle w:val="Style3"/>
        </w:rPr>
        <w:footnoteRef/>
      </w:r>
      <w:r>
        <w:rPr/>
        <w:t xml:space="preserve"> </w:t>
      </w:r>
      <w:r>
        <w:rPr>
          <w:rStyle w:val="Style15"/>
          <w:rFonts w:ascii="Times New Roman" w:hAnsi="Times New Roman"/>
          <w:b w:val="false"/>
          <w:iCs/>
          <w:sz w:val="20"/>
          <w:szCs w:val="20"/>
        </w:rPr>
        <w:t>В приложении указываются необходимые, действующие в Обществе на момент разработки ТТ требования к оформлению и составлению сметной документации. Объем требований к составлению сметной документации определяется исходя из состава работ, предусмотренного Техническими требованиями.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120" w:after="120"/>
        <w:jc w:val="both"/>
        <w:rPr>
          <w:rStyle w:val="Style15"/>
          <w:rFonts w:ascii="Times New Roman" w:hAnsi="Times New Roman"/>
          <w:b w:val="false"/>
          <w:iCs/>
          <w:sz w:val="20"/>
          <w:szCs w:val="20"/>
        </w:rPr>
      </w:pPr>
      <w:r>
        <w:rPr>
          <w:rStyle w:val="Style15"/>
          <w:rFonts w:ascii="Times New Roman" w:hAnsi="Times New Roman"/>
          <w:b w:val="false"/>
          <w:iCs/>
          <w:sz w:val="20"/>
          <w:szCs w:val="20"/>
        </w:rPr>
        <w:t>Требования к оформлению и составлению документации по ценообразованию могут предъявляться как на этапе проведения закупки, так и на этапе исполнения (заключения) договора (в зависимости от требований, изложенных в разделах 3 и 4 Технических требований).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120" w:after="120"/>
        <w:jc w:val="both"/>
        <w:rPr/>
      </w:pPr>
      <w:r>
        <w:rPr>
          <w:rStyle w:val="Style15"/>
          <w:rFonts w:ascii="Times New Roman" w:hAnsi="Times New Roman"/>
          <w:bCs/>
          <w:iCs/>
          <w:sz w:val="20"/>
          <w:szCs w:val="20"/>
        </w:rPr>
        <w:t>ВНИМАНИЕ:</w:t>
      </w:r>
      <w:r>
        <w:rPr>
          <w:rStyle w:val="Style15"/>
          <w:rFonts w:ascii="Times New Roman" w:hAnsi="Times New Roman"/>
          <w:b w:val="false"/>
          <w:iCs/>
          <w:sz w:val="20"/>
          <w:szCs w:val="20"/>
        </w:rPr>
        <w:t xml:space="preserve"> Настоящий документ должен быть скорректирован под конкретную закупку, а именно: удалены все лишние разделы, формы и т.п., не соответствующие предмету закупки, включая Приложение №2 «Основные положения по установлению требований к оформлению и составлению сметной документации»; в нужном (относящемся к предмету закупке) разделе заполнены все строки (выделенные красным цветом), при необходимости с включением дополнительной информации (подробнее см. далее в Приложении №2).</w:t>
      </w:r>
    </w:p>
  </w:footnote>
  <w:footnote w:id="3">
    <w:p>
      <w:pPr>
        <w:pStyle w:val="FootnoteText"/>
        <w:jc w:val="both"/>
        <w:rPr/>
      </w:pPr>
      <w:r>
        <w:rPr>
          <w:rStyle w:val="Style3"/>
        </w:rPr>
        <w:footnoteRef/>
      </w:r>
      <w:r>
        <w:rPr/>
        <w:t xml:space="preserve"> </w:t>
      </w:r>
      <w:r>
        <w:rPr/>
        <w:t>Закупки, на которые распространяются требования Градостроительного кодекса, Статья 8.3, пункт 1 «При этом сметные нормативы и сметные цены строительных ресурсов, использованные при определении сметной стоимости строительства, не подлежат применению при исполнении указанных контрактов или договоров».</w:t>
      </w:r>
    </w:p>
  </w:footnote>
  <w:footnote w:id="4">
    <w:p>
      <w:pPr>
        <w:pStyle w:val="FootnoteText"/>
        <w:rPr/>
      </w:pPr>
      <w:r>
        <w:rPr>
          <w:rStyle w:val="Style3"/>
        </w:rPr>
        <w:footnoteRef/>
      </w:r>
      <w:r>
        <w:rPr/>
        <w:t xml:space="preserve"> </w:t>
      </w:r>
      <w:r>
        <w:rPr/>
        <w:t>«Единая Методика формирования плановой цены на закупаемую продукцию для организации Группы РусГидро», утвержденной Приказом ПАО «РусГидро» от 23.11.2022 №893 в редакции Приказа от 05.09.2023 № 649</w:t>
      </w:r>
    </w:p>
  </w:footnote>
  <w:footnote w:id="5">
    <w:p>
      <w:pPr>
        <w:pStyle w:val="FootnoteText"/>
        <w:jc w:val="both"/>
        <w:rPr/>
      </w:pPr>
      <w:r>
        <w:rPr>
          <w:rStyle w:val="Style3"/>
        </w:rPr>
        <w:footnoteRef/>
      </w:r>
      <w:r>
        <w:rPr/>
        <w:t xml:space="preserve"> </w:t>
      </w:r>
      <w:r>
        <w:rPr/>
        <w:t>Данный способ применим при отсутствии разработанной рабочей документации на момент расчета плановой цены.</w:t>
      </w:r>
    </w:p>
  </w:footnote>
  <w:footnote w:id="6">
    <w:p>
      <w:pPr>
        <w:pStyle w:val="FootnoteText"/>
        <w:ind w:left="567"/>
        <w:rPr/>
      </w:pPr>
      <w:r>
        <w:rPr>
          <w:rStyle w:val="Style3"/>
        </w:rPr>
        <w:footnoteRef/>
      </w:r>
      <w:r>
        <w:rPr/>
        <w:t xml:space="preserve"> </w:t>
      </w:r>
      <w:r>
        <w:rPr/>
        <w:t>Заполняется в соответствии с проектом сметы контракта без изменения содержания</w:t>
      </w:r>
    </w:p>
  </w:footnote>
  <w:footnote w:id="7">
    <w:p>
      <w:pPr>
        <w:pStyle w:val="Normal"/>
        <w:shd w:val="clear" w:color="auto" w:fill="FFFFFF"/>
        <w:spacing w:lineRule="auto" w:line="240" w:before="0" w:after="0"/>
        <w:ind w:left="567"/>
        <w:rPr>
          <w:rFonts w:ascii="Times New Roman" w:hAnsi="Times New Roman"/>
          <w:color w:val="1A1A1A"/>
          <w:sz w:val="20"/>
          <w:szCs w:val="20"/>
        </w:rPr>
      </w:pPr>
      <w:r>
        <w:rPr>
          <w:rStyle w:val="Style3"/>
        </w:rPr>
        <w:footnoteRef/>
      </w:r>
      <w:r>
        <w:rPr/>
        <w:t xml:space="preserve"> </w:t>
      </w:r>
      <w:r>
        <w:rPr>
          <w:rFonts w:ascii="Times New Roman" w:hAnsi="Times New Roman"/>
          <w:sz w:val="20"/>
          <w:szCs w:val="20"/>
        </w:rPr>
        <w:t>Указывается</w:t>
      </w:r>
      <w:r>
        <w:rPr>
          <w:rFonts w:ascii="Times New Roman" w:hAnsi="Times New Roman"/>
          <w:color w:val="1A1A1A"/>
          <w:sz w:val="20"/>
          <w:szCs w:val="20"/>
        </w:rPr>
        <w:t xml:space="preserve"> (в рублях) стоимость всего, определенная как произведение значений граф 4 и 5 сметы контракта. В отношении оборудования указывается стоимость без НДС и стоимость с НДС в формате "стоимость без НДС (стоимость с НДС)".</w:t>
      </w:r>
    </w:p>
    <w:p>
      <w:pPr>
        <w:pStyle w:val="FootnoteText"/>
        <w:ind w:left="567"/>
        <w:rPr/>
      </w:pPr>
      <w:r>
        <w:rPr/>
      </w:r>
    </w:p>
  </w:footnote>
  <w:footnote w:id="8">
    <w:p>
      <w:pPr>
        <w:pStyle w:val="FootnoteText"/>
        <w:ind w:left="567"/>
        <w:rPr/>
      </w:pPr>
      <w:r>
        <w:rPr>
          <w:rStyle w:val="Style3"/>
        </w:rPr>
        <w:footnoteRef/>
      </w:r>
      <w:r>
        <w:rPr/>
        <w:t xml:space="preserve"> </w:t>
      </w:r>
      <w:r>
        <w:rPr/>
        <w:t>Заполняется в соответствии с проектом сметы контракта без изменения содержания</w:t>
      </w:r>
    </w:p>
  </w:footnote>
  <w:footnote w:id="9">
    <w:p>
      <w:pPr>
        <w:pStyle w:val="Normal"/>
        <w:shd w:val="clear" w:color="auto" w:fill="FFFFFF"/>
        <w:spacing w:lineRule="auto" w:line="240" w:before="0" w:after="0"/>
        <w:rPr/>
      </w:pPr>
      <w:r>
        <w:rPr>
          <w:rStyle w:val="Style3"/>
        </w:rPr>
        <w:footnoteRef/>
      </w:r>
      <w:r>
        <w:rPr/>
        <w:t xml:space="preserve"> </w:t>
      </w:r>
      <w:r>
        <w:rPr>
          <w:rFonts w:ascii="Times New Roman" w:hAnsi="Times New Roman"/>
          <w:sz w:val="20"/>
          <w:szCs w:val="20"/>
        </w:rPr>
        <w:t>Указывается</w:t>
      </w:r>
      <w:r>
        <w:rPr>
          <w:rFonts w:ascii="Times New Roman" w:hAnsi="Times New Roman"/>
          <w:color w:val="1A1A1A"/>
          <w:sz w:val="20"/>
          <w:szCs w:val="20"/>
        </w:rPr>
        <w:t xml:space="preserve"> (в рублях) стоимость всего, определенная как произведение значений граф 4 и 5 сметы контракта. В отношении оборудования указывается стоимость без НДС и стоимость с НДС в формате "стоимость без НДС (стоимость с НДС)".</w:t>
      </w:r>
    </w:p>
  </w:footnote>
  <w:footnote w:id="10"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/>
          <w:color w:val="1A1A1A"/>
          <w:sz w:val="20"/>
          <w:szCs w:val="20"/>
        </w:rPr>
      </w:pPr>
      <w:r>
        <w:rPr>
          <w:rStyle w:val="Style3"/>
        </w:rPr>
        <w:footnoteRef/>
      </w:r>
      <w:r>
        <w:rPr/>
        <w:t xml:space="preserve"> </w:t>
      </w:r>
      <w:r>
        <w:rPr>
          <w:rFonts w:ascii="Times New Roman" w:hAnsi="Times New Roman"/>
          <w:color w:val="1A1A1A"/>
          <w:sz w:val="20"/>
          <w:szCs w:val="20"/>
        </w:rPr>
        <w:t xml:space="preserve">Наименование оборудования указывается в случае его выделения отдельной строкой (если оборудование в соответствии с законодательством Российской Федерации о бухгалтерском учете подлежит принятию к бухгалтерскому учету в качестве отдельного объекта основных средств. В иных случаях решение о выделении оборудования отдельной строкой принимается заказчиком)  </w:t>
      </w:r>
    </w:p>
    <w:p>
      <w:pPr>
        <w:pStyle w:val="FootnoteText"/>
        <w:rPr/>
      </w:pPr>
      <w:r>
        <w:rPr/>
      </w:r>
    </w:p>
  </w:footnote>
  <w:footnote w:id="11">
    <w:p>
      <w:pPr>
        <w:pStyle w:val="FootnoteText"/>
        <w:rPr/>
      </w:pPr>
      <w:r>
        <w:rPr>
          <w:rStyle w:val="Style3"/>
        </w:rPr>
        <w:footnoteRef/>
      </w:r>
      <w:r>
        <w:rPr/>
        <w:t xml:space="preserve"> </w:t>
      </w:r>
      <w:r>
        <w:rPr/>
        <w:t>Если в организации функции главного бухгалтера выполняет генеральный директор–ставится только его виза.</w:t>
      </w:r>
    </w:p>
    <w:p>
      <w:pPr>
        <w:pStyle w:val="FootnoteText"/>
        <w:rPr/>
      </w:pPr>
      <w:r>
        <w:rPr/>
        <w:t>Возможно предоставление иной формы справки в соответствии с внутренним документооборотом организации.</w:t>
      </w:r>
    </w:p>
  </w:footnote>
  <w:footnote w:id="12"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18"/>
          <w:szCs w:val="18"/>
        </w:rPr>
      </w:pPr>
      <w:r>
        <w:rPr>
          <w:rStyle w:val="Style3"/>
        </w:rPr>
        <w:footnoteRef/>
      </w:r>
      <w:r>
        <w:rPr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На официальном сайте единой межведомственной информационно-статистической системы (ЕМИСС) https://www.fedstat.ru указанная информация представлена по показателю «Среднемесячная номинальная начисленная заработная плата работающих в экономике с 2017 г.», в графе «Классификатор видов экономической деятельности» следует выбрать «Деятельность в области архитектуры и инженерно-технического проектирования; технических испытаний, исследований и анализа».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</w:p>
    <w:p>
      <w:pPr>
        <w:pStyle w:val="Normal"/>
        <w:spacing w:lineRule="auto" w:line="240" w:before="0" w:after="0"/>
        <w:jc w:val="both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Для работ по проектированию объектов, являющихся особо опасными, технически сложными, уникальными объектами следует выбрать «Деятельность в области архитектуры, инженерных изысканий и предоставление технических консультаций в этих областях».</w:t>
      </w:r>
    </w:p>
  </w:footnote>
  <w:footnote w:id="13">
    <w:p>
      <w:pPr>
        <w:pStyle w:val="Normal"/>
        <w:spacing w:lineRule="auto" w:line="240" w:before="0" w:after="0"/>
        <w:jc w:val="both"/>
        <w:rPr/>
      </w:pPr>
      <w:r>
        <w:rPr>
          <w:rStyle w:val="Style3"/>
        </w:rPr>
        <w:footnoteRef/>
      </w:r>
      <w:r>
        <w:rPr/>
        <w:t xml:space="preserve"> </w:t>
      </w:r>
      <w:r>
        <w:rPr>
          <w:rFonts w:ascii="Times New Roman" w:hAnsi="Times New Roman"/>
          <w:sz w:val="20"/>
          <w:szCs w:val="20"/>
        </w:rPr>
        <w:t>На официальном сайте единой межведомственной информационно-статистической системы (ЕМИСС) https://www.fedstat.ru указанная информация представлена по показателю «Среднемесячная номинальная начисленная заработная плата работающих в экономике с 2017 г.», в графе «Классификатор видов экономической деятельности» следует выбрать «Деятельность в области архитектуры и инженерно-технического проектирования; технических испытаний, исследований и анализа»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/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/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/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false"/>
        <w:rFonts w:ascii="Times New Roman" w:hAnsi="Times New Roman" w:eastAsia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  <w:rPr/>
    </w:lvl>
    <w:lvl w:ilvl="3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  <w:rPr/>
    </w:lvl>
    <w:lvl w:ilvl="6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b w:val="false"/>
        <w:rFonts w:ascii="Times New Roman" w:hAnsi="Times New Roman" w:eastAsia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false"/>
        <w:rFonts w:ascii="Garamond" w:hAnsi="Garamond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/>
    </w:lvl>
  </w:abstractNum>
  <w:abstractNum w:abstractNumId="6">
    <w:lvl w:ilvl="0">
      <w:start w:val="1"/>
      <w:numFmt w:val="decimal"/>
      <w:lvlText w:val="%1."/>
      <w:lvlJc w:val="center"/>
      <w:pPr>
        <w:tabs>
          <w:tab w:val="num" w:pos="1130"/>
        </w:tabs>
        <w:ind w:left="1130" w:hanging="279"/>
      </w:pPr>
      <w:rPr>
        <w:sz w:val="24"/>
        <w:i w:val="false"/>
        <w:u w:val="none"/>
        <w:b w:val="false"/>
        <w:szCs w:val="24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u w:val="none"/>
        <w:b w:val="fals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/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2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418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1070" w:hanging="360"/>
      </w:pPr>
      <w:rPr>
        <w:rFonts w:ascii="Symbol" w:hAnsi="Symbol" w:cs="Symbol" w:hint="default"/>
        <w:b w:val="fals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7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346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979" w:hanging="72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72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05" w:hanging="108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598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231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864" w:hanging="1440"/>
      </w:pPr>
      <w:rPr>
        <w:rFonts w:ascii="Times New Roman" w:hAnsi="Times New Roman" w:cs="Times New Roman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2"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4"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433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3153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873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593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313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6033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753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473" w:hanging="180"/>
      </w:pPr>
      <w:rPr/>
    </w:lvl>
  </w:abstractNum>
  <w:abstractNum w:abstractNumId="16"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17"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18"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19"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eastAsia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1"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22">
    <w:lvl w:ilvl="0">
      <w:start w:val="1"/>
      <w:numFmt w:val="bullet"/>
      <w:lvlText w:val="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23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4"/>
        <w:i w:val="false"/>
        <w:b w:val="false"/>
        <w:szCs w:val="24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2"/>
        <w:b w:val="false"/>
        <w:szCs w:val="22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24"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sz w:val="24"/>
        <w:i w:val="false"/>
        <w:u w:val="none"/>
        <w:b w:val="false"/>
        <w:szCs w:val="24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sz w:val="24"/>
        <w:u w:val="none"/>
        <w:b w:val="false"/>
        <w:szCs w:val="24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/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25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6"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b w:val="false"/>
        <w:rFonts w:ascii="Times New Roman" w:hAnsi="Times New Roman" w:eastAsia="Calibri" w:cs="Times New Roman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24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42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8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316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34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52" w:hanging="1440"/>
      </w:pPr>
      <w:rPr/>
    </w:lvl>
  </w:abstractNum>
  <w:abstractNum w:abstractNumId="27">
    <w:lvl w:ilvl="0">
      <w:start w:val="1"/>
      <w:numFmt w:val="bullet"/>
      <w:lvlText w:val=""/>
      <w:lvlJc w:val="left"/>
      <w:pPr>
        <w:tabs>
          <w:tab w:val="num" w:pos="0"/>
        </w:tabs>
        <w:ind w:left="13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80" w:hanging="360"/>
      </w:pPr>
      <w:rPr>
        <w:rFonts w:ascii="Wingdings" w:hAnsi="Wingdings" w:cs="Wingdings" w:hint="default"/>
      </w:rPr>
    </w:lvl>
  </w:abstractNum>
  <w:abstractNum w:abstractNumId="28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9"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"/>
      <w:lvlJc w:val="left"/>
      <w:pPr>
        <w:tabs>
          <w:tab w:val="num" w:pos="0"/>
        </w:tabs>
        <w:ind w:left="1070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4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50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2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30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0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1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480" w:hanging="1800"/>
      </w:pPr>
      <w:rPr/>
    </w:lvl>
  </w:abstractNum>
  <w:abstractNum w:abstractNumId="31">
    <w:lvl w:ilvl="0">
      <w:start w:val="1"/>
      <w:numFmt w:val="decimal"/>
      <w:lvlText w:val="%1."/>
      <w:lvlJc w:val="left"/>
      <w:pPr>
        <w:tabs>
          <w:tab w:val="num" w:pos="397"/>
        </w:tabs>
        <w:ind w:left="0" w:hanging="0"/>
      </w:pPr>
      <w:rPr>
        <w:i w:val="false"/>
        <w:b w:val="fals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284" w:hanging="0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pacing w:val="0"/>
        <w:i w:val="false"/>
        <w:u w:val="none"/>
        <w:b w:val="false"/>
        <w:kern w:val="0"/>
        <w:effect w:val="none"/>
        <w:iCs w:val="false"/>
        <w:bCs w:val="false"/>
        <w:em w:val="none"/>
        <w:vanish w:val="false"/>
        <w:rFonts w:ascii="Times New Roman" w:hAnsi="Times New Roman" w:cs="Times New Roman"/>
        <w:color w:val="000000"/>
        <w14:cntxtAlts>
          <w14:cntxtAlts/>
        </w14:cntxtAlts>
        <w14:glow w14:rad="0">
          <w14:srgbClr w14:val="000000"/>
        </w14:glow>
        <w14:ligatures w14:val="none"/>
        <w14:numForm w14:val="default"/>
        <w14:numSpacing w14:val="default"/>
        <w14:props3d w14:extrusionH="0" w14:contourW="0" w14:prstMaterial="none"/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shadow w14:blurRad="0" w14:dist="0" w14:dir="0" w14:sx="0" w14:sy="0" w14:kx="0" w14:ky="0" w14:algn="none">
          <w14:srgbClr w14:val="000000"/>
        </w14:shadow>
        <w14:stylisticSets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32"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/>
    </w:lvl>
    <w:lvl w:ilvl="1">
      <w:start w:val="4"/>
      <w:numFmt w:val="decimal"/>
      <w:lvlText w:val="%1.%2"/>
      <w:lvlJc w:val="left"/>
      <w:pPr>
        <w:tabs>
          <w:tab w:val="num" w:pos="0"/>
        </w:tabs>
        <w:ind w:left="360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/>
    </w:lvl>
  </w:abstractNum>
  <w:abstractNum w:abstractNumId="3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</w:numbering>
</file>

<file path=word/settings.xml><?xml version="1.0" encoding="utf-8"?>
<w:settings xmlns:w="http://schemas.openxmlformats.org/wordprocessingml/2006/main">
  <w:zoom w:percent="104"/>
  <w:defaultTabStop w:val="709"/>
  <w:autoHyphenation w:val="true"/>
  <w:footnotePr>
    <w:numFmt w:val="decimal"/>
    <w:numRestart w:val="eachSect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d2f0e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link w:val="11"/>
    <w:uiPriority w:val="9"/>
    <w:qFormat/>
    <w:rsid w:val="00bb18d9"/>
    <w:pPr>
      <w:keepNext w:val="true"/>
      <w:keepLines/>
      <w:spacing w:lineRule="auto" w:line="240"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d4745f"/>
    <w:pPr>
      <w:keepNext w:val="true"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3"/>
    <w:uiPriority w:val="9"/>
    <w:qFormat/>
    <w:rsid w:val="00bb18d9"/>
    <w:pPr>
      <w:keepNext w:val="true"/>
      <w:keepLines/>
      <w:spacing w:lineRule="auto" w:line="240"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Heading4">
    <w:name w:val="Heading 4"/>
    <w:basedOn w:val="Normal"/>
    <w:next w:val="Normal"/>
    <w:link w:val="4"/>
    <w:uiPriority w:val="9"/>
    <w:qFormat/>
    <w:rsid w:val="00bb18d9"/>
    <w:pPr>
      <w:keepNext w:val="true"/>
      <w:keepLines/>
      <w:spacing w:lineRule="auto" w:line="240"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Heading5">
    <w:name w:val="Heading 5"/>
    <w:basedOn w:val="Normal"/>
    <w:next w:val="Normal"/>
    <w:link w:val="5"/>
    <w:uiPriority w:val="9"/>
    <w:qFormat/>
    <w:rsid w:val="00bb18d9"/>
    <w:pPr>
      <w:keepNext w:val="true"/>
      <w:keepLines/>
      <w:spacing w:lineRule="auto" w:line="240"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6"/>
    <w:uiPriority w:val="9"/>
    <w:qFormat/>
    <w:rsid w:val="00bb18d9"/>
    <w:pPr>
      <w:keepNext w:val="true"/>
      <w:keepLines/>
      <w:spacing w:lineRule="auto" w:line="240"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7"/>
    <w:uiPriority w:val="9"/>
    <w:qFormat/>
    <w:rsid w:val="00bb18d9"/>
    <w:pPr>
      <w:keepNext w:val="true"/>
      <w:keepLines/>
      <w:spacing w:lineRule="auto" w:line="240"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8"/>
    <w:uiPriority w:val="9"/>
    <w:qFormat/>
    <w:rsid w:val="00bb18d9"/>
    <w:pPr>
      <w:keepNext w:val="true"/>
      <w:keepLines/>
      <w:spacing w:lineRule="auto" w:line="240"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9"/>
    <w:uiPriority w:val="9"/>
    <w:qFormat/>
    <w:rsid w:val="00bb18d9"/>
    <w:pPr>
      <w:keepNext w:val="true"/>
      <w:keepLines/>
      <w:spacing w:lineRule="auto" w:line="240"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qFormat/>
    <w:rsid w:val="00cb04da"/>
    <w:rPr>
      <w:sz w:val="16"/>
      <w:szCs w:val="16"/>
    </w:rPr>
  </w:style>
  <w:style w:type="character" w:styleId="Style" w:customStyle="1">
    <w:name w:val="Текст примечания Знак"/>
    <w:link w:val="Annotationtext"/>
    <w:qFormat/>
    <w:rsid w:val="00cb04da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" w:customStyle="1">
    <w:name w:val="Текст выноски Знак"/>
    <w:link w:val="BalloonText"/>
    <w:uiPriority w:val="99"/>
    <w:semiHidden/>
    <w:qFormat/>
    <w:rsid w:val="00cb04da"/>
    <w:rPr>
      <w:rFonts w:ascii="Tahoma" w:hAnsi="Tahoma" w:cs="Tahoma"/>
      <w:sz w:val="16"/>
      <w:szCs w:val="16"/>
    </w:rPr>
  </w:style>
  <w:style w:type="character" w:styleId="2" w:customStyle="1">
    <w:name w:val="Заголовок 2 Знак"/>
    <w:uiPriority w:val="9"/>
    <w:qFormat/>
    <w:rsid w:val="00d4745f"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rsid w:val="00d4745f"/>
    <w:rPr>
      <w:color w:val="0000FF"/>
      <w:u w:val="single"/>
    </w:rPr>
  </w:style>
  <w:style w:type="character" w:styleId="Apple-style-span" w:customStyle="1">
    <w:name w:val="apple-style-span"/>
    <w:basedOn w:val="DefaultParagraphFont"/>
    <w:qFormat/>
    <w:rsid w:val="00b4339d"/>
    <w:rPr/>
  </w:style>
  <w:style w:type="character" w:styleId="Apple-converted-space" w:customStyle="1">
    <w:name w:val="apple-converted-space"/>
    <w:basedOn w:val="DefaultParagraphFont"/>
    <w:qFormat/>
    <w:rsid w:val="00b4339d"/>
    <w:rPr/>
  </w:style>
  <w:style w:type="character" w:styleId="Style2" w:customStyle="1">
    <w:name w:val="Текст сноски Знак"/>
    <w:uiPriority w:val="99"/>
    <w:qFormat/>
    <w:rsid w:val="0080406e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Style3">
    <w:name w:val="Символ сноски"/>
    <w:uiPriority w:val="99"/>
    <w:unhideWhenUsed/>
    <w:qFormat/>
    <w:rsid w:val="0080406e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1" w:customStyle="1">
    <w:name w:val="Подпункт Знак1"/>
    <w:link w:val="Style25"/>
    <w:qFormat/>
    <w:locked/>
    <w:rsid w:val="00192f26"/>
    <w:rPr>
      <w:rFonts w:ascii="Times New Roman" w:hAnsi="Times New Roman"/>
      <w:b/>
      <w:sz w:val="28"/>
    </w:rPr>
  </w:style>
  <w:style w:type="character" w:styleId="Style4" w:customStyle="1">
    <w:name w:val="Верхний колонтитул Знак"/>
    <w:basedOn w:val="DefaultParagraphFont"/>
    <w:uiPriority w:val="99"/>
    <w:qFormat/>
    <w:rsid w:val="00ff6229"/>
    <w:rPr/>
  </w:style>
  <w:style w:type="character" w:styleId="Style5" w:customStyle="1">
    <w:name w:val="Нижний колонтитул Знак"/>
    <w:basedOn w:val="DefaultParagraphFont"/>
    <w:uiPriority w:val="99"/>
    <w:qFormat/>
    <w:rsid w:val="00ff6229"/>
    <w:rPr/>
  </w:style>
  <w:style w:type="character" w:styleId="Linenumber">
    <w:name w:val="line number"/>
    <w:basedOn w:val="DefaultParagraphFont"/>
    <w:uiPriority w:val="99"/>
    <w:semiHidden/>
    <w:unhideWhenUsed/>
    <w:qFormat/>
    <w:rsid w:val="00ff6229"/>
    <w:rPr/>
  </w:style>
  <w:style w:type="character" w:styleId="Style6" w:customStyle="1">
    <w:name w:val="Схема документа Знак"/>
    <w:link w:val="DocumentMap"/>
    <w:uiPriority w:val="99"/>
    <w:semiHidden/>
    <w:qFormat/>
    <w:rsid w:val="0040689f"/>
    <w:rPr>
      <w:rFonts w:ascii="Tahoma" w:hAnsi="Tahoma" w:cs="Tahoma"/>
      <w:sz w:val="16"/>
      <w:szCs w:val="16"/>
    </w:rPr>
  </w:style>
  <w:style w:type="character" w:styleId="11" w:customStyle="1">
    <w:name w:val="Заголовок 1 Знак"/>
    <w:uiPriority w:val="9"/>
    <w:qFormat/>
    <w:rsid w:val="00bb18d9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3" w:customStyle="1">
    <w:name w:val="Заголовок 3 Знак"/>
    <w:uiPriority w:val="9"/>
    <w:qFormat/>
    <w:rsid w:val="00bb18d9"/>
    <w:rPr>
      <w:rFonts w:ascii="Cambria" w:hAnsi="Cambria" w:eastAsia="Times New Roman" w:cs="Times New Roman"/>
      <w:b/>
      <w:bCs/>
      <w:color w:val="4F81BD"/>
      <w:sz w:val="20"/>
      <w:szCs w:val="20"/>
    </w:rPr>
  </w:style>
  <w:style w:type="character" w:styleId="4" w:customStyle="1">
    <w:name w:val="Заголовок 4 Знак"/>
    <w:uiPriority w:val="9"/>
    <w:qFormat/>
    <w:rsid w:val="00bb18d9"/>
    <w:rPr>
      <w:rFonts w:ascii="Cambria" w:hAnsi="Cambria" w:eastAsia="Times New Roman" w:cs="Times New Roman"/>
      <w:b/>
      <w:bCs/>
      <w:i/>
      <w:iCs/>
      <w:color w:val="4F81BD"/>
      <w:sz w:val="20"/>
      <w:szCs w:val="20"/>
    </w:rPr>
  </w:style>
  <w:style w:type="character" w:styleId="5" w:customStyle="1">
    <w:name w:val="Заголовок 5 Знак"/>
    <w:uiPriority w:val="9"/>
    <w:qFormat/>
    <w:rsid w:val="00bb18d9"/>
    <w:rPr>
      <w:rFonts w:ascii="Cambria" w:hAnsi="Cambria" w:eastAsia="Times New Roman" w:cs="Times New Roman"/>
      <w:color w:val="243F60"/>
      <w:sz w:val="20"/>
      <w:szCs w:val="20"/>
    </w:rPr>
  </w:style>
  <w:style w:type="character" w:styleId="6" w:customStyle="1">
    <w:name w:val="Заголовок 6 Знак"/>
    <w:uiPriority w:val="9"/>
    <w:qFormat/>
    <w:rsid w:val="00bb18d9"/>
    <w:rPr>
      <w:rFonts w:ascii="Cambria" w:hAnsi="Cambria" w:eastAsia="Times New Roman" w:cs="Times New Roman"/>
      <w:i/>
      <w:iCs/>
      <w:color w:val="243F60"/>
      <w:sz w:val="20"/>
      <w:szCs w:val="20"/>
    </w:rPr>
  </w:style>
  <w:style w:type="character" w:styleId="7" w:customStyle="1">
    <w:name w:val="Заголовок 7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8" w:customStyle="1">
    <w:name w:val="Заголовок 8 Знак"/>
    <w:uiPriority w:val="9"/>
    <w:qFormat/>
    <w:rsid w:val="00bb18d9"/>
    <w:rPr>
      <w:rFonts w:ascii="Cambria" w:hAnsi="Cambria" w:eastAsia="Times New Roman" w:cs="Times New Roman"/>
      <w:color w:val="4F81BD"/>
      <w:sz w:val="20"/>
      <w:szCs w:val="20"/>
    </w:rPr>
  </w:style>
  <w:style w:type="character" w:styleId="9" w:customStyle="1">
    <w:name w:val="Заголовок 9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Style7" w:customStyle="1">
    <w:name w:val="Название Знак"/>
    <w:link w:val="15"/>
    <w:uiPriority w:val="10"/>
    <w:qFormat/>
    <w:rsid w:val="00bb18d9"/>
    <w:rPr>
      <w:rFonts w:ascii="Cambria" w:hAnsi="Cambria" w:eastAsia="Times New Roman" w:cs="Times New Roman"/>
      <w:color w:val="17365D"/>
      <w:spacing w:val="5"/>
      <w:kern w:val="2"/>
      <w:sz w:val="52"/>
      <w:szCs w:val="52"/>
    </w:rPr>
  </w:style>
  <w:style w:type="character" w:styleId="Style8" w:customStyle="1">
    <w:name w:val="Подзаголовок Знак"/>
    <w:uiPriority w:val="11"/>
    <w:qFormat/>
    <w:rsid w:val="00bb18d9"/>
    <w:rPr>
      <w:rFonts w:ascii="Cambria" w:hAnsi="Cambria" w:eastAsia="Times New Roman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bb18d9"/>
    <w:rPr>
      <w:b/>
      <w:bCs/>
    </w:rPr>
  </w:style>
  <w:style w:type="character" w:styleId="Emphasis">
    <w:name w:val="Emphasis"/>
    <w:uiPriority w:val="20"/>
    <w:qFormat/>
    <w:rsid w:val="00bb18d9"/>
    <w:rPr>
      <w:i/>
      <w:iCs/>
    </w:rPr>
  </w:style>
  <w:style w:type="character" w:styleId="21" w:customStyle="1">
    <w:name w:val="Цитата 2 Знак"/>
    <w:link w:val="Quote"/>
    <w:uiPriority w:val="29"/>
    <w:qFormat/>
    <w:rsid w:val="00bb18d9"/>
    <w:rPr>
      <w:rFonts w:ascii="Calibri" w:hAnsi="Calibri" w:eastAsia="Calibri" w:cs="Times New Roman"/>
      <w:i/>
      <w:iCs/>
      <w:color w:val="000000"/>
      <w:sz w:val="20"/>
      <w:szCs w:val="20"/>
    </w:rPr>
  </w:style>
  <w:style w:type="character" w:styleId="Style9" w:customStyle="1">
    <w:name w:val="Выделенная цитата Знак"/>
    <w:link w:val="IntenseQuote"/>
    <w:uiPriority w:val="30"/>
    <w:qFormat/>
    <w:rsid w:val="00bb18d9"/>
    <w:rPr>
      <w:rFonts w:ascii="Calibri" w:hAnsi="Calibri" w:eastAsia="Calibri" w:cs="Times New Roman"/>
      <w:b/>
      <w:bCs/>
      <w:i/>
      <w:iCs/>
      <w:color w:val="4F81BD"/>
      <w:sz w:val="20"/>
      <w:szCs w:val="20"/>
    </w:rPr>
  </w:style>
  <w:style w:type="character" w:styleId="SubtleEmphasis">
    <w:name w:val="Subtle Emphasis"/>
    <w:uiPriority w:val="19"/>
    <w:qFormat/>
    <w:rsid w:val="00bb18d9"/>
    <w:rPr>
      <w:i/>
      <w:iCs/>
      <w:color w:val="808080"/>
    </w:rPr>
  </w:style>
  <w:style w:type="character" w:styleId="IntenseEmphasis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b18d9"/>
    <w:rPr>
      <w:b/>
      <w:bCs/>
      <w:smallCaps/>
      <w:spacing w:val="5"/>
    </w:rPr>
  </w:style>
  <w:style w:type="character" w:styleId="Style10" w:customStyle="1">
    <w:name w:val="Электронная подпись Знак"/>
    <w:link w:val="E-mailSignature"/>
    <w:uiPriority w:val="99"/>
    <w:semiHidden/>
    <w:qFormat/>
    <w:rsid w:val="00bb18d9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yle11" w:customStyle="1">
    <w:name w:val="Тема примечания Знак"/>
    <w:link w:val="Annotationsubject"/>
    <w:semiHidden/>
    <w:qFormat/>
    <w:rsid w:val="00bb18d9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character" w:styleId="Style12" w:customStyle="1">
    <w:name w:val="Основной текст с отступом Знак"/>
    <w:qFormat/>
    <w:rsid w:val="008757e8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FollowedHyperlink">
    <w:name w:val="FollowedHyperlink"/>
    <w:uiPriority w:val="99"/>
    <w:semiHidden/>
    <w:unhideWhenUsed/>
    <w:rsid w:val="00b211e3"/>
    <w:rPr>
      <w:color w:val="954F72"/>
      <w:u w:val="single"/>
    </w:rPr>
  </w:style>
  <w:style w:type="character" w:styleId="Style13" w:customStyle="1">
    <w:name w:val="Абзац списка Знак"/>
    <w:link w:val="ListParagraph"/>
    <w:uiPriority w:val="34"/>
    <w:qFormat/>
    <w:rsid w:val="00253374"/>
    <w:rPr>
      <w:sz w:val="22"/>
      <w:szCs w:val="22"/>
    </w:rPr>
  </w:style>
  <w:style w:type="character" w:styleId="61" w:customStyle="1">
    <w:name w:val="Основной текст (6)_"/>
    <w:basedOn w:val="DefaultParagraphFont"/>
    <w:link w:val="62"/>
    <w:qFormat/>
    <w:rsid w:val="00310980"/>
    <w:rPr>
      <w:rFonts w:ascii="Times New Roman" w:hAnsi="Times New Roman"/>
      <w:shd w:fill="FFFFFF" w:val="clear"/>
    </w:rPr>
  </w:style>
  <w:style w:type="character" w:styleId="Style14" w:customStyle="1">
    <w:name w:val="Колонтитул_"/>
    <w:basedOn w:val="DefaultParagraphFont"/>
    <w:link w:val="Style29"/>
    <w:qFormat/>
    <w:rsid w:val="006d08bc"/>
    <w:rPr>
      <w:rFonts w:ascii="Times New Roman" w:hAnsi="Times New Roman"/>
      <w:shd w:fill="FFFFFF" w:val="clear"/>
    </w:rPr>
  </w:style>
  <w:style w:type="character" w:styleId="Style15" w:customStyle="1">
    <w:name w:val="комментарий"/>
    <w:qFormat/>
    <w:rsid w:val="008d2ec1"/>
    <w:rPr>
      <w:b/>
      <w:i/>
      <w:shd w:fill="FFFF99" w:val="clear"/>
    </w:rPr>
  </w:style>
  <w:style w:type="character" w:styleId="ConsPlusNormal" w:customStyle="1">
    <w:name w:val="ConsPlusNormal Знак"/>
    <w:link w:val="ConsPlusNormal1"/>
    <w:qFormat/>
    <w:rsid w:val="00170c47"/>
    <w:rPr>
      <w:rFonts w:ascii="Arial" w:hAnsi="Arial" w:cs="Arial"/>
    </w:rPr>
  </w:style>
  <w:style w:type="character" w:styleId="12" w:customStyle="1">
    <w:name w:val="Абзац списка Знак1"/>
    <w:basedOn w:val="DefaultParagraphFont"/>
    <w:uiPriority w:val="34"/>
    <w:qFormat/>
    <w:rsid w:val="00a270f3"/>
    <w:rPr>
      <w:rFonts w:ascii="Calibri" w:hAnsi="Calibri"/>
      <w:sz w:val="22"/>
    </w:rPr>
  </w:style>
  <w:style w:type="character" w:styleId="Style16" w:customStyle="1">
    <w:name w:val="Текст концевой сноски Знак"/>
    <w:basedOn w:val="DefaultParagraphFont"/>
    <w:uiPriority w:val="99"/>
    <w:semiHidden/>
    <w:qFormat/>
    <w:rsid w:val="00dc37db"/>
    <w:rPr/>
  </w:style>
  <w:style w:type="character" w:styleId="Style17">
    <w:name w:val="Символ концевой сноски"/>
    <w:basedOn w:val="DefaultParagraphFont"/>
    <w:uiPriority w:val="99"/>
    <w:semiHidden/>
    <w:unhideWhenUsed/>
    <w:qFormat/>
    <w:rsid w:val="00dc37db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470434"/>
    <w:rPr>
      <w:color w:val="808080"/>
    </w:rPr>
  </w:style>
  <w:style w:type="character" w:styleId="Style18" w:customStyle="1">
    <w:name w:val="РГ_номер текста табл Знак"/>
    <w:basedOn w:val="12"/>
    <w:link w:val="Style34"/>
    <w:qFormat/>
    <w:rsid w:val="00470434"/>
    <w:rPr>
      <w:rFonts w:ascii="Calibri" w:hAnsi="Calibri" w:eastAsia="Calibri" w:cs="Calibri" w:asciiTheme="minorHAnsi" w:cstheme="minorHAnsi" w:hAnsiTheme="minorHAnsi"/>
      <w:sz w:val="24"/>
      <w:szCs w:val="22"/>
      <w:lang w:eastAsia="en-US"/>
    </w:rPr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PT Sans" w:hAnsi="PT Sans" w:eastAsia="Noto Sans CJK SC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link w:val="Style13"/>
    <w:uiPriority w:val="34"/>
    <w:qFormat/>
    <w:rsid w:val="00141d91"/>
    <w:pPr>
      <w:spacing w:before="0" w:after="200"/>
      <w:ind w:left="720"/>
      <w:contextualSpacing/>
    </w:pPr>
    <w:rPr/>
  </w:style>
  <w:style w:type="paragraph" w:styleId="Annotationtext">
    <w:name w:val="annotation text"/>
    <w:basedOn w:val="Normal"/>
    <w:link w:val="Style"/>
    <w:qFormat/>
    <w:rsid w:val="00cb04da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link w:val="Style1"/>
    <w:semiHidden/>
    <w:unhideWhenUsed/>
    <w:qFormat/>
    <w:rsid w:val="00cb04d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1" w:customStyle="1">
    <w:name w:val="Обычный+ без отступа"/>
    <w:basedOn w:val="Normal"/>
    <w:qFormat/>
    <w:rsid w:val="000a41f8"/>
    <w:pPr>
      <w:spacing w:lineRule="auto" w:line="360" w:before="120" w:after="0"/>
      <w:jc w:val="both"/>
    </w:pPr>
    <w:rPr>
      <w:rFonts w:ascii="Times New Roman" w:hAnsi="Times New Roman" w:eastAsia="MS Mincho"/>
      <w:sz w:val="28"/>
      <w:szCs w:val="28"/>
    </w:rPr>
  </w:style>
  <w:style w:type="paragraph" w:styleId="Style22" w:customStyle="1">
    <w:name w:val="Таблица шапка"/>
    <w:basedOn w:val="Normal"/>
    <w:qFormat/>
    <w:rsid w:val="008b7e3f"/>
    <w:pPr>
      <w:keepNext w:val="true"/>
      <w:spacing w:lineRule="auto" w:line="240" w:before="40" w:after="40"/>
      <w:ind w:left="57" w:right="57"/>
    </w:pPr>
    <w:rPr>
      <w:rFonts w:ascii="Times New Roman" w:hAnsi="Times New Roman"/>
      <w:sz w:val="18"/>
      <w:szCs w:val="18"/>
    </w:rPr>
  </w:style>
  <w:style w:type="paragraph" w:styleId="Style23" w:customStyle="1">
    <w:name w:val="Текст таблицы"/>
    <w:basedOn w:val="Normal"/>
    <w:qFormat/>
    <w:rsid w:val="008b7e3f"/>
    <w:pPr>
      <w:spacing w:lineRule="auto" w:line="240" w:before="40" w:after="40"/>
      <w:ind w:left="57" w:right="57"/>
    </w:pPr>
    <w:rPr>
      <w:rFonts w:ascii="Times New Roman" w:hAnsi="Times New Roman"/>
      <w:sz w:val="24"/>
      <w:szCs w:val="24"/>
    </w:rPr>
  </w:style>
  <w:style w:type="paragraph" w:styleId="Style24" w:customStyle="1">
    <w:name w:val="Пункт Знак"/>
    <w:basedOn w:val="Normal"/>
    <w:qFormat/>
    <w:rsid w:val="00112ebd"/>
    <w:pPr>
      <w:numPr>
        <w:ilvl w:val="1"/>
        <w:numId w:val="1"/>
      </w:numPr>
      <w:tabs>
        <w:tab w:val="clear" w:pos="709"/>
        <w:tab w:val="left" w:pos="851" w:leader="none"/>
        <w:tab w:val="left" w:pos="1134" w:leader="none"/>
      </w:tabs>
      <w:spacing w:lineRule="auto" w:line="360" w:before="0" w:after="0"/>
      <w:jc w:val="both"/>
    </w:pPr>
    <w:rPr>
      <w:rFonts w:ascii="Times New Roman" w:hAnsi="Times New Roman"/>
      <w:b/>
      <w:sz w:val="28"/>
      <w:szCs w:val="20"/>
    </w:rPr>
  </w:style>
  <w:style w:type="paragraph" w:styleId="Style25" w:customStyle="1">
    <w:name w:val="Подпункт"/>
    <w:basedOn w:val="Style24"/>
    <w:link w:val="1"/>
    <w:qFormat/>
    <w:rsid w:val="00b5006b"/>
    <w:pPr>
      <w:numPr>
        <w:ilvl w:val="2"/>
      </w:numPr>
      <w:tabs>
        <w:tab w:val="clear" w:pos="1134"/>
        <w:tab w:val="left" w:pos="851" w:leader="none"/>
      </w:tabs>
    </w:pPr>
    <w:rPr/>
  </w:style>
  <w:style w:type="paragraph" w:styleId="Style26" w:customStyle="1">
    <w:name w:val="Подподпункт"/>
    <w:basedOn w:val="Style25"/>
    <w:qFormat/>
    <w:rsid w:val="00b5006b"/>
    <w:pPr>
      <w:numPr>
        <w:ilvl w:val="3"/>
      </w:numPr>
      <w:tabs>
        <w:tab w:val="left" w:pos="851" w:leader="none"/>
        <w:tab w:val="left" w:pos="1134" w:leader="none"/>
        <w:tab w:val="left" w:pos="1418" w:leader="none"/>
      </w:tabs>
    </w:pPr>
    <w:rPr/>
  </w:style>
  <w:style w:type="paragraph" w:styleId="Style27" w:customStyle="1">
    <w:name w:val="Подподподпункт"/>
    <w:basedOn w:val="Normal"/>
    <w:qFormat/>
    <w:rsid w:val="00112ebd"/>
    <w:pPr>
      <w:numPr>
        <w:ilvl w:val="4"/>
        <w:numId w:val="1"/>
      </w:numPr>
      <w:tabs>
        <w:tab w:val="clear" w:pos="709"/>
        <w:tab w:val="left" w:pos="1134" w:leader="none"/>
        <w:tab w:val="left" w:pos="1701" w:leader="none"/>
      </w:tabs>
      <w:spacing w:lineRule="auto" w:line="360" w:before="0" w:after="0"/>
      <w:jc w:val="both"/>
    </w:pPr>
    <w:rPr>
      <w:rFonts w:ascii="Times New Roman" w:hAnsi="Times New Roman"/>
      <w:sz w:val="28"/>
      <w:szCs w:val="20"/>
    </w:rPr>
  </w:style>
  <w:style w:type="paragraph" w:styleId="13" w:customStyle="1">
    <w:name w:val="Пункт1"/>
    <w:basedOn w:val="Normal"/>
    <w:qFormat/>
    <w:rsid w:val="00b5006b"/>
    <w:pPr>
      <w:numPr>
        <w:ilvl w:val="0"/>
        <w:numId w:val="1"/>
      </w:numPr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31" w:customStyle="1">
    <w:name w:val="Пункт_3"/>
    <w:basedOn w:val="Normal"/>
    <w:uiPriority w:val="99"/>
    <w:qFormat/>
    <w:rsid w:val="00112ebd"/>
    <w:pPr>
      <w:tabs>
        <w:tab w:val="clear" w:pos="709"/>
        <w:tab w:val="left" w:pos="1134" w:leader="none"/>
      </w:tabs>
      <w:spacing w:lineRule="auto" w:line="360" w:before="0" w:after="0"/>
      <w:ind w:hanging="1133" w:left="1134"/>
      <w:jc w:val="both"/>
    </w:pPr>
    <w:rPr>
      <w:rFonts w:ascii="Times New Roman" w:hAnsi="Times New Roman"/>
      <w:sz w:val="28"/>
      <w:szCs w:val="20"/>
    </w:rPr>
  </w:style>
  <w:style w:type="paragraph" w:styleId="TOC1">
    <w:name w:val="TOC 1"/>
    <w:basedOn w:val="Normal"/>
    <w:next w:val="Normal"/>
    <w:autoRedefine/>
    <w:uiPriority w:val="39"/>
    <w:rsid w:val="00b17e73"/>
    <w:pPr>
      <w:tabs>
        <w:tab w:val="clear" w:pos="709"/>
        <w:tab w:val="right" w:pos="9344" w:leader="dot"/>
      </w:tabs>
      <w:spacing w:lineRule="auto" w:line="240" w:before="0" w:after="0"/>
      <w:jc w:val="center"/>
    </w:pPr>
    <w:rPr>
      <w:rFonts w:ascii="Times New Roman" w:hAnsi="Times New Roman"/>
      <w:b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b87d05"/>
    <w:pPr>
      <w:tabs>
        <w:tab w:val="clear" w:pos="709"/>
        <w:tab w:val="left" w:pos="426" w:leader="none"/>
        <w:tab w:val="left" w:pos="1680" w:leader="none"/>
        <w:tab w:val="right" w:pos="9344" w:leader="dot"/>
        <w:tab w:val="right" w:pos="9639" w:leader="dot"/>
      </w:tabs>
      <w:spacing w:before="0" w:after="0"/>
      <w:ind w:left="220"/>
    </w:pPr>
    <w:rPr/>
  </w:style>
  <w:style w:type="paragraph" w:styleId="FootnoteText">
    <w:name w:val="Footnote Text"/>
    <w:basedOn w:val="Normal"/>
    <w:link w:val="Style2"/>
    <w:uiPriority w:val="99"/>
    <w:unhideWhenUsed/>
    <w:rsid w:val="0080406e"/>
    <w:pPr>
      <w:spacing w:lineRule="auto" w:line="240" w:before="0" w:after="0"/>
    </w:pPr>
    <w:rPr>
      <w:rFonts w:ascii="Times New Roman" w:hAnsi="Times New Roman" w:eastAsia="Calibri"/>
      <w:sz w:val="20"/>
      <w:szCs w:val="20"/>
    </w:rPr>
  </w:style>
  <w:style w:type="paragraph" w:styleId="ConsPlusNormal1" w:customStyle="1">
    <w:name w:val="ConsPlusNormal"/>
    <w:link w:val="ConsPlusNormal"/>
    <w:qFormat/>
    <w:rsid w:val="00192f26"/>
    <w:pPr>
      <w:widowControl w:val="false"/>
      <w:bidi w:val="0"/>
      <w:spacing w:before="0" w:after="0"/>
      <w:ind w:firstLine="72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Style28" w:customStyle="1">
    <w:name w:val="Таблица"/>
    <w:basedOn w:val="Normal"/>
    <w:qFormat/>
    <w:rsid w:val="00192f26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14" w:customStyle="1">
    <w:name w:val="Абзац списка1"/>
    <w:basedOn w:val="Normal"/>
    <w:qFormat/>
    <w:rsid w:val="00192f26"/>
    <w:pPr>
      <w:spacing w:before="0" w:after="200"/>
      <w:ind w:left="720"/>
      <w:contextualSpacing/>
    </w:pPr>
    <w:rPr/>
  </w:style>
  <w:style w:type="paragraph" w:styleId="Style29" w:customStyle="1">
    <w:name w:val="Колонтитул"/>
    <w:basedOn w:val="Normal"/>
    <w:link w:val="Style14"/>
    <w:qFormat/>
    <w:rsid w:val="006d08bc"/>
    <w:pPr>
      <w:widowControl w:val="false"/>
      <w:shd w:val="clear" w:color="auto" w:fill="FFFFFF"/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Header">
    <w:name w:val="Header"/>
    <w:basedOn w:val="Normal"/>
    <w:link w:val="Style4"/>
    <w:uiPriority w:val="99"/>
    <w:unhideWhenUsed/>
    <w:rsid w:val="00ff622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5"/>
    <w:uiPriority w:val="99"/>
    <w:unhideWhenUsed/>
    <w:rsid w:val="00ff622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DocumentMap">
    <w:name w:val="Document Map"/>
    <w:basedOn w:val="Normal"/>
    <w:link w:val="Style6"/>
    <w:uiPriority w:val="99"/>
    <w:semiHidden/>
    <w:unhideWhenUsed/>
    <w:qFormat/>
    <w:rsid w:val="0040689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30" w:customStyle="1">
    <w:name w:val="Знак Знак Знак Знак Знак Знак Знак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NoSpacing">
    <w:name w:val="No Spacing"/>
    <w:basedOn w:val="Normal"/>
    <w:uiPriority w:val="1"/>
    <w:qFormat/>
    <w:rsid w:val="00bb18d9"/>
    <w:pPr>
      <w:spacing w:lineRule="auto" w:line="360" w:before="0" w:after="0"/>
    </w:pPr>
    <w:rPr>
      <w:rFonts w:ascii="Times New Roman" w:hAnsi="Times New Roman" w:eastAsia="Calibri"/>
      <w:sz w:val="24"/>
      <w:szCs w:val="24"/>
    </w:rPr>
  </w:style>
  <w:style w:type="paragraph" w:styleId="Caption1">
    <w:name w:val="caption1"/>
    <w:basedOn w:val="Normal"/>
    <w:next w:val="Normal"/>
    <w:uiPriority w:val="35"/>
    <w:qFormat/>
    <w:rsid w:val="00bb18d9"/>
    <w:pPr>
      <w:spacing w:lineRule="auto" w:line="240" w:before="0" w:after="0"/>
    </w:pPr>
    <w:rPr>
      <w:rFonts w:ascii="Times New Roman" w:hAnsi="Times New Roman" w:eastAsia="Calibri"/>
      <w:b/>
      <w:bCs/>
      <w:color w:val="4F81BD"/>
      <w:sz w:val="18"/>
      <w:szCs w:val="18"/>
    </w:rPr>
  </w:style>
  <w:style w:type="paragraph" w:styleId="15" w:customStyle="1">
    <w:name w:val="Название1"/>
    <w:basedOn w:val="Normal"/>
    <w:next w:val="Normal"/>
    <w:link w:val="Style7"/>
    <w:uiPriority w:val="10"/>
    <w:qFormat/>
    <w:rsid w:val="00bb18d9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tyle8"/>
    <w:uiPriority w:val="11"/>
    <w:qFormat/>
    <w:rsid w:val="00bb18d9"/>
    <w:pPr>
      <w:numPr>
        <w:ilvl w:val="1"/>
      </w:numPr>
      <w:spacing w:lineRule="auto" w:line="240" w:before="0" w:after="0"/>
      <w:ind w:firstLine="709" w:left="1066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bb18d9"/>
    <w:pPr>
      <w:spacing w:lineRule="auto" w:line="240" w:before="0" w:after="0"/>
    </w:pPr>
    <w:rPr>
      <w:rFonts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9"/>
    <w:uiPriority w:val="30"/>
    <w:qFormat/>
    <w:rsid w:val="00bb18d9"/>
    <w:pPr>
      <w:pBdr>
        <w:bottom w:val="single" w:sz="4" w:space="4" w:color="4F81BD"/>
      </w:pBdr>
      <w:spacing w:lineRule="auto" w:line="240" w:before="200" w:after="280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9"/>
    <w:pPr/>
    <w:rPr/>
  </w:style>
  <w:style w:type="paragraph" w:styleId="TOCHeading">
    <w:name w:val="TOC Heading"/>
    <w:basedOn w:val="Heading1"/>
    <w:next w:val="Normal"/>
    <w:uiPriority w:val="39"/>
    <w:qFormat/>
    <w:rsid w:val="00bb18d9"/>
    <w:pPr>
      <w:outlineLvl w:val="9"/>
    </w:pPr>
    <w:rPr/>
  </w:style>
  <w:style w:type="paragraph" w:styleId="E-mailSignature">
    <w:name w:val="E-mail Signature"/>
    <w:basedOn w:val="Normal"/>
    <w:link w:val="Style10"/>
    <w:uiPriority w:val="99"/>
    <w:semiHidden/>
    <w:unhideWhenUsed/>
    <w:qFormat/>
    <w:rsid w:val="00bb18d9"/>
    <w:pPr>
      <w:spacing w:lineRule="auto" w:line="240" w:before="0" w:after="0"/>
    </w:pPr>
    <w:rPr>
      <w:rFonts w:ascii="Times New Roman" w:hAnsi="Times New Roman" w:eastAsia="Calibri"/>
      <w:sz w:val="24"/>
      <w:szCs w:val="24"/>
    </w:rPr>
  </w:style>
  <w:style w:type="paragraph" w:styleId="Style31" w:customStyle="1">
    <w:name w:val="Знак"/>
    <w:basedOn w:val="Normal"/>
    <w:qFormat/>
    <w:rsid w:val="00bb18d9"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Annotationsubject">
    <w:name w:val="annotation subject"/>
    <w:basedOn w:val="Annotationtext"/>
    <w:next w:val="Annotationtext"/>
    <w:link w:val="Style11"/>
    <w:semiHidden/>
    <w:qFormat/>
    <w:rsid w:val="00bb18d9"/>
    <w:pPr/>
    <w:rPr>
      <w:rFonts w:eastAsia="Calibri"/>
      <w:b/>
      <w:bCs/>
    </w:rPr>
  </w:style>
  <w:style w:type="paragraph" w:styleId="32" w:customStyle="1">
    <w:name w:val="Нумерованный список ур3"/>
    <w:basedOn w:val="Normal"/>
    <w:qFormat/>
    <w:rsid w:val="00bb18d9"/>
    <w:pPr>
      <w:numPr>
        <w:ilvl w:val="2"/>
        <w:numId w:val="5"/>
      </w:numPr>
      <w:spacing w:lineRule="auto" w:line="240" w:before="0" w:after="0"/>
      <w:jc w:val="both"/>
    </w:pPr>
    <w:rPr>
      <w:rFonts w:ascii="Garamond" w:hAnsi="Garamond"/>
      <w:sz w:val="24"/>
      <w:szCs w:val="20"/>
    </w:rPr>
  </w:style>
  <w:style w:type="paragraph" w:styleId="List3" w:customStyle="1">
    <w:name w:val="List 3"/>
    <w:basedOn w:val="Normal"/>
    <w:rsid w:val="00b5006b"/>
    <w:pPr>
      <w:numPr>
        <w:ilvl w:val="0"/>
        <w:numId w:val="5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22" w:customStyle="1">
    <w:name w:val="Нумерованный список ур2"/>
    <w:basedOn w:val="Normal"/>
    <w:qFormat/>
    <w:rsid w:val="00bb18d9"/>
    <w:pPr>
      <w:numPr>
        <w:ilvl w:val="1"/>
        <w:numId w:val="5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NormalWeb">
    <w:name w:val="Normal (Web)"/>
    <w:basedOn w:val="Normal"/>
    <w:uiPriority w:val="99"/>
    <w:qFormat/>
    <w:rsid w:val="00bb18d9"/>
    <w:pPr>
      <w:spacing w:lineRule="auto" w:line="240" w:before="30" w:after="30"/>
    </w:pPr>
    <w:rPr>
      <w:rFonts w:ascii="Arial" w:hAnsi="Arial" w:eastAsia="Arial Unicode MS" w:cs="Arial"/>
      <w:color w:val="332E2D"/>
      <w:spacing w:val="2"/>
      <w:sz w:val="24"/>
      <w:szCs w:val="24"/>
    </w:rPr>
  </w:style>
  <w:style w:type="paragraph" w:styleId="Revision">
    <w:name w:val="Revision"/>
    <w:uiPriority w:val="99"/>
    <w:semiHidden/>
    <w:qFormat/>
    <w:rsid w:val="00bb18d9"/>
    <w:pPr>
      <w:widowControl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33" w:customStyle="1">
    <w:name w:val="Знак Знак3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Style32" w:customStyle="1">
    <w:name w:val="Пункт"/>
    <w:basedOn w:val="Normal"/>
    <w:qFormat/>
    <w:rsid w:val="00bb18d9"/>
    <w:pPr>
      <w:widowControl w:val="false"/>
      <w:tabs>
        <w:tab w:val="clear" w:pos="709"/>
        <w:tab w:val="left" w:pos="1134" w:leader="none"/>
      </w:tabs>
      <w:spacing w:lineRule="auto" w:line="360" w:before="120" w:after="0"/>
      <w:ind w:hanging="1134" w:left="1134" w:right="800"/>
      <w:jc w:val="both"/>
    </w:pPr>
    <w:rPr>
      <w:rFonts w:ascii="Arial" w:hAnsi="Arial"/>
      <w:b/>
      <w:i/>
      <w:sz w:val="28"/>
      <w:szCs w:val="20"/>
    </w:rPr>
  </w:style>
  <w:style w:type="paragraph" w:styleId="23" w:customStyle="1">
    <w:name w:val="Абзац списка2"/>
    <w:basedOn w:val="Normal"/>
    <w:qFormat/>
    <w:rsid w:val="00bb18d9"/>
    <w:pPr>
      <w:spacing w:before="0" w:after="200"/>
      <w:ind w:left="720"/>
      <w:contextualSpacing/>
    </w:pPr>
    <w:rPr/>
  </w:style>
  <w:style w:type="paragraph" w:styleId="BodyTextIndent">
    <w:name w:val="Body Text Indent"/>
    <w:basedOn w:val="Normal"/>
    <w:link w:val="Style12"/>
    <w:rsid w:val="008757e8"/>
    <w:pPr>
      <w:spacing w:lineRule="auto" w:line="240" w:before="0" w:after="120"/>
      <w:ind w:left="283"/>
    </w:pPr>
    <w:rPr>
      <w:rFonts w:ascii="Times New Roman" w:hAnsi="Times New Roman"/>
      <w:sz w:val="28"/>
      <w:szCs w:val="28"/>
    </w:rPr>
  </w:style>
  <w:style w:type="paragraph" w:styleId="Style33" w:customStyle="1">
    <w:name w:val="Знак Знак"/>
    <w:basedOn w:val="Normal"/>
    <w:qFormat/>
    <w:rsid w:val="00d30377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bb55ba"/>
    <w:pPr>
      <w:spacing w:before="0" w:after="100"/>
      <w:ind w:left="440"/>
    </w:pPr>
    <w:rPr/>
  </w:style>
  <w:style w:type="paragraph" w:styleId="62" w:customStyle="1">
    <w:name w:val="Основной текст (6)"/>
    <w:basedOn w:val="Normal"/>
    <w:link w:val="61"/>
    <w:qFormat/>
    <w:rsid w:val="00310980"/>
    <w:pPr>
      <w:widowControl w:val="false"/>
      <w:shd w:val="clear" w:color="auto" w:fill="FFFFFF"/>
      <w:spacing w:lineRule="auto" w:line="240" w:before="0" w:after="0"/>
      <w:ind w:firstLine="720"/>
      <w:jc w:val="both"/>
    </w:pPr>
    <w:rPr>
      <w:rFonts w:ascii="Times New Roman" w:hAnsi="Times New Roman"/>
      <w:sz w:val="20"/>
      <w:szCs w:val="20"/>
    </w:rPr>
  </w:style>
  <w:style w:type="paragraph" w:styleId="TableListParagraph" w:customStyle="1">
    <w:name w:val="Table List Paragraph"/>
    <w:basedOn w:val="Normal"/>
    <w:qFormat/>
    <w:rsid w:val="00a270f3"/>
    <w:pPr>
      <w:numPr>
        <w:ilvl w:val="0"/>
        <w:numId w:val="29"/>
      </w:numPr>
      <w:tabs>
        <w:tab w:val="clear" w:pos="709"/>
        <w:tab w:val="left" w:pos="360" w:leader="none"/>
      </w:tabs>
      <w:spacing w:lineRule="auto" w:line="240" w:before="0" w:after="0"/>
      <w:jc w:val="both"/>
    </w:pPr>
    <w:rPr>
      <w:rFonts w:ascii="Times New Roman" w:hAnsi="Times New Roman"/>
      <w:sz w:val="24"/>
      <w:szCs w:val="24"/>
    </w:rPr>
  </w:style>
  <w:style w:type="paragraph" w:styleId="ConsPlusNonformat" w:customStyle="1">
    <w:name w:val="ConsPlusNonformat"/>
    <w:basedOn w:val="Normal"/>
    <w:qFormat/>
    <w:rsid w:val="000753e1"/>
    <w:pPr>
      <w:spacing w:lineRule="auto" w:line="240" w:before="0" w:after="0"/>
    </w:pPr>
    <w:rPr>
      <w:rFonts w:ascii="Courier New" w:hAnsi="Courier New" w:eastAsia="Calibri" w:cs="Courier New" w:eastAsiaTheme="minorHAnsi"/>
      <w:sz w:val="20"/>
      <w:szCs w:val="20"/>
    </w:rPr>
  </w:style>
  <w:style w:type="paragraph" w:styleId="Dt-p" w:customStyle="1">
    <w:name w:val="dt-p"/>
    <w:basedOn w:val="Normal"/>
    <w:qFormat/>
    <w:rsid w:val="00a05152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Style16"/>
    <w:uiPriority w:val="99"/>
    <w:semiHidden/>
    <w:unhideWhenUsed/>
    <w:rsid w:val="00dc37db"/>
    <w:pPr>
      <w:spacing w:lineRule="auto" w:line="240" w:before="0" w:after="0"/>
    </w:pPr>
    <w:rPr>
      <w:sz w:val="20"/>
      <w:szCs w:val="20"/>
    </w:rPr>
  </w:style>
  <w:style w:type="paragraph" w:styleId="Style34" w:customStyle="1">
    <w:name w:val="РГ_номер текста табл"/>
    <w:basedOn w:val="ListParagraph"/>
    <w:link w:val="Style18"/>
    <w:qFormat/>
    <w:rsid w:val="00470434"/>
    <w:pPr>
      <w:numPr>
        <w:ilvl w:val="0"/>
        <w:numId w:val="31"/>
      </w:numPr>
      <w:spacing w:lineRule="auto" w:line="240" w:before="0" w:after="0"/>
      <w:contextualSpacing/>
      <w:jc w:val="both"/>
    </w:pPr>
    <w:rPr>
      <w:rFonts w:ascii="Calibri" w:hAnsi="Calibri" w:eastAsia="Calibri" w:cs="Calibri" w:asciiTheme="minorHAnsi" w:cstheme="minorHAnsi" w:hAnsiTheme="minorHAnsi"/>
      <w:sz w:val="24"/>
      <w:lang w:eastAsia="en-US"/>
    </w:rPr>
  </w:style>
  <w:style w:type="paragraph" w:styleId="111" w:customStyle="1">
    <w:name w:val="1.1. таблица"/>
    <w:basedOn w:val="Style34"/>
    <w:qFormat/>
    <w:rsid w:val="00470434"/>
    <w:pPr>
      <w:numPr>
        <w:ilvl w:val="1"/>
      </w:numPr>
      <w:tabs>
        <w:tab w:val="clear" w:pos="709"/>
      </w:tabs>
      <w:ind w:hanging="360" w:left="1440"/>
    </w:pPr>
    <w:rPr/>
  </w:style>
  <w:style w:type="paragraph" w:styleId="Xmsolistparagraph" w:customStyle="1">
    <w:name w:val="x_msolistparagraph"/>
    <w:basedOn w:val="Normal"/>
    <w:qFormat/>
    <w:rsid w:val="001d51d9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Style35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6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6"/>
    <w:uiPriority w:val="39"/>
    <w:rsid w:val="00b918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footer" Target="footer8.xml"/><Relationship Id="rId10" Type="http://schemas.openxmlformats.org/officeDocument/2006/relationships/footer" Target="footer9.xml"/><Relationship Id="rId11" Type="http://schemas.openxmlformats.org/officeDocument/2006/relationships/footer" Target="footer10.xml"/><Relationship Id="rId12" Type="http://schemas.openxmlformats.org/officeDocument/2006/relationships/footer" Target="footer11.xml"/><Relationship Id="rId13" Type="http://schemas.openxmlformats.org/officeDocument/2006/relationships/footer" Target="footer12.xml"/><Relationship Id="rId14" Type="http://schemas.openxmlformats.org/officeDocument/2006/relationships/footer" Target="footer13.xml"/><Relationship Id="rId15" Type="http://schemas.openxmlformats.org/officeDocument/2006/relationships/package" Target="embeddings/oleObject1.xlsx"/><Relationship Id="rId16" Type="http://schemas.openxmlformats.org/officeDocument/2006/relationships/image" Target="media/image1.wmf"/><Relationship Id="rId17" Type="http://schemas.openxmlformats.org/officeDocument/2006/relationships/footer" Target="footer14.xml"/><Relationship Id="rId18" Type="http://schemas.openxmlformats.org/officeDocument/2006/relationships/footer" Target="footer15.xml"/><Relationship Id="rId19" Type="http://schemas.openxmlformats.org/officeDocument/2006/relationships/package" Target="embeddings/oleObject2.xlsx"/><Relationship Id="rId20" Type="http://schemas.openxmlformats.org/officeDocument/2006/relationships/image" Target="media/image2.wmf"/><Relationship Id="rId21" Type="http://schemas.openxmlformats.org/officeDocument/2006/relationships/footer" Target="footer16.xml"/><Relationship Id="rId22" Type="http://schemas.openxmlformats.org/officeDocument/2006/relationships/footer" Target="footer17.xml"/><Relationship Id="rId23" Type="http://schemas.openxmlformats.org/officeDocument/2006/relationships/footer" Target="footer18.xml"/><Relationship Id="rId24" Type="http://schemas.openxmlformats.org/officeDocument/2006/relationships/footer" Target="footer19.xml"/><Relationship Id="rId25" Type="http://schemas.openxmlformats.org/officeDocument/2006/relationships/footer" Target="footer20.xml"/><Relationship Id="rId26" Type="http://schemas.openxmlformats.org/officeDocument/2006/relationships/footer" Target="footer21.xml"/><Relationship Id="rId27" Type="http://schemas.openxmlformats.org/officeDocument/2006/relationships/footer" Target="footer22.xml"/><Relationship Id="rId28" Type="http://schemas.openxmlformats.org/officeDocument/2006/relationships/footer" Target="footer23.xml"/><Relationship Id="rId29" Type="http://schemas.openxmlformats.org/officeDocument/2006/relationships/footer" Target="footer24.xml"/><Relationship Id="rId30" Type="http://schemas.openxmlformats.org/officeDocument/2006/relationships/footer" Target="footer25.xml"/><Relationship Id="rId31" Type="http://schemas.openxmlformats.org/officeDocument/2006/relationships/package" Target="embeddings/oleObject3.xlsx"/><Relationship Id="rId32" Type="http://schemas.openxmlformats.org/officeDocument/2006/relationships/image" Target="media/image3.wmf"/><Relationship Id="rId33" Type="http://schemas.openxmlformats.org/officeDocument/2006/relationships/footer" Target="footer26.xml"/><Relationship Id="rId34" Type="http://schemas.openxmlformats.org/officeDocument/2006/relationships/footer" Target="footer27.xml"/><Relationship Id="rId35" Type="http://schemas.openxmlformats.org/officeDocument/2006/relationships/footer" Target="footer28.xml"/><Relationship Id="rId36" Type="http://schemas.openxmlformats.org/officeDocument/2006/relationships/footer" Target="footer29.xml"/><Relationship Id="rId37" Type="http://schemas.openxmlformats.org/officeDocument/2006/relationships/footer" Target="footer30.xml"/><Relationship Id="rId38" Type="http://schemas.openxmlformats.org/officeDocument/2006/relationships/footer" Target="footer31.xml"/><Relationship Id="rId39" Type="http://schemas.openxmlformats.org/officeDocument/2006/relationships/footer" Target="footer32.xml"/><Relationship Id="rId40" Type="http://schemas.openxmlformats.org/officeDocument/2006/relationships/footer" Target="footer33.xml"/><Relationship Id="rId41" Type="http://schemas.openxmlformats.org/officeDocument/2006/relationships/footer" Target="footer34.xml"/><Relationship Id="rId42" Type="http://schemas.openxmlformats.org/officeDocument/2006/relationships/footer" Target="footer35.xml"/><Relationship Id="rId43" Type="http://schemas.openxmlformats.org/officeDocument/2006/relationships/footer" Target="footer36.xml"/><Relationship Id="rId44" Type="http://schemas.openxmlformats.org/officeDocument/2006/relationships/footer" Target="footer37.xml"/><Relationship Id="rId45" Type="http://schemas.openxmlformats.org/officeDocument/2006/relationships/hyperlink" Target="consultantplus://offline/ref=B32CDE0E905E401B1BFF323EF993DB2C6865F0A971913444C3F7F56C5AF257E783F32977DF4E2DA4F5ACBC60359FF614F9C1315096B586250A26N" TargetMode="External"/><Relationship Id="rId46" Type="http://schemas.openxmlformats.org/officeDocument/2006/relationships/hyperlink" Target="consultantplus://offline/ref=B32CDE0E905E401B1BFF323EF993DB2C6F6DF7AA75973444C3F7F56C5AF257E783F32977DC422FF8A5E3BD3C70CDE515FFC133518A0B25N" TargetMode="External"/><Relationship Id="rId47" Type="http://schemas.openxmlformats.org/officeDocument/2006/relationships/hyperlink" Target="consultantplus://offline/ref=B32CDE0E905E401B1BFF323EF993DB2C6865F0A971913444C3F7F56C5AF257E783F32977DF4D24ACF0ACBC60359FF614F9C1315096B586250A26N" TargetMode="External"/><Relationship Id="rId48" Type="http://schemas.openxmlformats.org/officeDocument/2006/relationships/hyperlink" Target="consultantplus://offline/ref=B32CDE0E905E401B1BFF323EF993DB2C6F62F6A7789C3444C3F7F56C5AF257E783F32977DF4B25AAFDACBC60359FF614F9C1315096B586250A26N" TargetMode="External"/><Relationship Id="rId49" Type="http://schemas.openxmlformats.org/officeDocument/2006/relationships/hyperlink" Target="consultantplus://offline/ref=B32CDE0E905E401B1BFF323EF993DB2C6F6DF7AA75973444C3F7F56C5AF257E783F32974D8482DA7A0F6AC647CCBFC0BFEDE2F5388B50824N" TargetMode="External"/><Relationship Id="rId50" Type="http://schemas.openxmlformats.org/officeDocument/2006/relationships/footer" Target="footer38.xml"/><Relationship Id="rId51" Type="http://schemas.openxmlformats.org/officeDocument/2006/relationships/footer" Target="footer39.xml"/><Relationship Id="rId52" Type="http://schemas.openxmlformats.org/officeDocument/2006/relationships/footer" Target="footer40.xml"/><Relationship Id="rId53" Type="http://schemas.openxmlformats.org/officeDocument/2006/relationships/footer" Target="footer41.xml"/><Relationship Id="rId54" Type="http://schemas.openxmlformats.org/officeDocument/2006/relationships/footer" Target="footer42.xml"/><Relationship Id="rId55" Type="http://schemas.openxmlformats.org/officeDocument/2006/relationships/footer" Target="footer43.xml"/><Relationship Id="rId56" Type="http://schemas.openxmlformats.org/officeDocument/2006/relationships/package" Target="embeddings/oleObject4.xlsx"/><Relationship Id="rId57" Type="http://schemas.openxmlformats.org/officeDocument/2006/relationships/image" Target="media/image4.wmf"/><Relationship Id="rId58" Type="http://schemas.openxmlformats.org/officeDocument/2006/relationships/footer" Target="footer44.xml"/><Relationship Id="rId59" Type="http://schemas.openxmlformats.org/officeDocument/2006/relationships/footer" Target="footer45.xml"/><Relationship Id="rId60" Type="http://schemas.openxmlformats.org/officeDocument/2006/relationships/package" Target="embeddings/oleObject5.xlsx"/><Relationship Id="rId61" Type="http://schemas.openxmlformats.org/officeDocument/2006/relationships/image" Target="media/image5.wmf"/><Relationship Id="rId62" Type="http://schemas.openxmlformats.org/officeDocument/2006/relationships/footer" Target="footer46.xml"/><Relationship Id="rId63" Type="http://schemas.openxmlformats.org/officeDocument/2006/relationships/footer" Target="footer47.xml"/><Relationship Id="rId64" Type="http://schemas.openxmlformats.org/officeDocument/2006/relationships/footer" Target="footer48.xml"/><Relationship Id="rId65" Type="http://schemas.openxmlformats.org/officeDocument/2006/relationships/footer" Target="footer49.xml"/><Relationship Id="rId66" Type="http://schemas.openxmlformats.org/officeDocument/2006/relationships/hyperlink" Target="consultantplus://offline/ref=B32CDE0E905E401B1BFF323EF993DB2C6865F0A971913444C3F7F56C5AF257E783F32977DF4E2DA4F5ACBC60359FF614F9C1315096B586250A26N" TargetMode="External"/><Relationship Id="rId67" Type="http://schemas.openxmlformats.org/officeDocument/2006/relationships/hyperlink" Target="consultantplus://offline/ref=B32CDE0E905E401B1BFF323EF993DB2C6F6DF7AA75973444C3F7F56C5AF257E783F32977DC422FF8A5E3BD3C70CDE515FFC133518A0B25N" TargetMode="External"/><Relationship Id="rId68" Type="http://schemas.openxmlformats.org/officeDocument/2006/relationships/hyperlink" Target="consultantplus://offline/ref=B32CDE0E905E401B1BFF323EF993DB2C6865F0A971913444C3F7F56C5AF257E783F32977DF4D24ACF0ACBC60359FF614F9C1315096B586250A26N" TargetMode="External"/><Relationship Id="rId69" Type="http://schemas.openxmlformats.org/officeDocument/2006/relationships/hyperlink" Target="consultantplus://offline/ref=B32CDE0E905E401B1BFF323EF993DB2C6F62F6A7789C3444C3F7F56C5AF257E783F32977DF4B25AAFDACBC60359FF614F9C1315096B586250A26N" TargetMode="External"/><Relationship Id="rId70" Type="http://schemas.openxmlformats.org/officeDocument/2006/relationships/hyperlink" Target="consultantplus://offline/ref=B32CDE0E905E401B1BFF323EF993DB2C6F6DF7AA75973444C3F7F56C5AF257E783F32974D8482DA7A0F6AC647CCBFC0BFEDE2F5388B50824N" TargetMode="External"/><Relationship Id="rId71" Type="http://schemas.openxmlformats.org/officeDocument/2006/relationships/footer" Target="footer50.xml"/><Relationship Id="rId72" Type="http://schemas.openxmlformats.org/officeDocument/2006/relationships/footer" Target="footer51.xml"/><Relationship Id="rId73" Type="http://schemas.openxmlformats.org/officeDocument/2006/relationships/footer" Target="footer52.xml"/><Relationship Id="rId74" Type="http://schemas.openxmlformats.org/officeDocument/2006/relationships/footer" Target="footer53.xml"/><Relationship Id="rId75" Type="http://schemas.openxmlformats.org/officeDocument/2006/relationships/footer" Target="footer54.xml"/><Relationship Id="rId76" Type="http://schemas.openxmlformats.org/officeDocument/2006/relationships/footer" Target="footer55.xml"/><Relationship Id="rId77" Type="http://schemas.openxmlformats.org/officeDocument/2006/relationships/package" Target="embeddings/oleObject6.xlsx"/><Relationship Id="rId78" Type="http://schemas.openxmlformats.org/officeDocument/2006/relationships/image" Target="media/image4.wmf"/><Relationship Id="rId79" Type="http://schemas.openxmlformats.org/officeDocument/2006/relationships/footer" Target="footer56.xml"/><Relationship Id="rId80" Type="http://schemas.openxmlformats.org/officeDocument/2006/relationships/footer" Target="footer57.xml"/><Relationship Id="rId81" Type="http://schemas.openxmlformats.org/officeDocument/2006/relationships/package" Target="embeddings/oleObject7.xlsx"/><Relationship Id="rId82" Type="http://schemas.openxmlformats.org/officeDocument/2006/relationships/image" Target="media/image5.wmf"/><Relationship Id="rId83" Type="http://schemas.openxmlformats.org/officeDocument/2006/relationships/footer" Target="footer58.xml"/><Relationship Id="rId84" Type="http://schemas.openxmlformats.org/officeDocument/2006/relationships/footer" Target="footer59.xml"/><Relationship Id="rId85" Type="http://schemas.openxmlformats.org/officeDocument/2006/relationships/footer" Target="footer60.xml"/><Relationship Id="rId86" Type="http://schemas.openxmlformats.org/officeDocument/2006/relationships/footer" Target="footer61.xml"/><Relationship Id="rId87" Type="http://schemas.openxmlformats.org/officeDocument/2006/relationships/package" Target="embeddings/oleObject8.xlsx"/><Relationship Id="rId88" Type="http://schemas.openxmlformats.org/officeDocument/2006/relationships/image" Target="media/image6.wmf"/><Relationship Id="rId89" Type="http://schemas.openxmlformats.org/officeDocument/2006/relationships/footer" Target="footer62.xml"/><Relationship Id="rId90" Type="http://schemas.openxmlformats.org/officeDocument/2006/relationships/footer" Target="footer63.xml"/><Relationship Id="rId91" Type="http://schemas.openxmlformats.org/officeDocument/2006/relationships/footnotes" Target="footnotes.xml"/><Relationship Id="rId92" Type="http://schemas.openxmlformats.org/officeDocument/2006/relationships/numbering" Target="numbering.xml"/><Relationship Id="rId93" Type="http://schemas.openxmlformats.org/officeDocument/2006/relationships/fontTable" Target="fontTable.xml"/><Relationship Id="rId94" Type="http://schemas.openxmlformats.org/officeDocument/2006/relationships/settings" Target="settings.xml"/><Relationship Id="rId95" Type="http://schemas.openxmlformats.org/officeDocument/2006/relationships/theme" Target="theme/theme1.xml"/><Relationship Id="rId9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2405F-4D95-4B3D-A0E0-62E3909EF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Application>AlterOffice/2026.1.0.0$Linux_X86_64 LibreOffice_project/a0185688e0f3f228c7940c57a96eaa0ebba58757</Application>
  <AppVersion>15.0000</AppVersion>
  <Pages>71</Pages>
  <Words>15378</Words>
  <Characters>110147</Characters>
  <CharactersWithSpaces>120032</CharactersWithSpaces>
  <Paragraphs>2111</Paragraphs>
  <Company>####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2025-10-15T16:39:00Z</dcterms:created>
  <dc:creator>Торопов Денис Владимирович</dc:creator>
  <dc:description/>
  <dc:language>ru-RU</dc:language>
  <cp:lastModifiedBy>Uzer_O.G.B.</cp:lastModifiedBy>
  <cp:lastPrinted>2021-07-09T09:18:00Z</cp:lastPrinted>
  <dcterms:modified xsi:type="dcterms:W3CDTF">2025-10-15T16:40:00Z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